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A3D" w:rsidRPr="00DD6E35" w:rsidRDefault="00510A3D" w:rsidP="00510A3D">
      <w:pPr>
        <w:spacing w:line="254" w:lineRule="auto"/>
        <w:rPr>
          <w:rFonts w:ascii="Calibri" w:eastAsia="Calibri" w:hAnsi="Calibri"/>
          <w:b/>
          <w:sz w:val="22"/>
          <w:szCs w:val="22"/>
          <w:lang w:eastAsia="en-US"/>
        </w:rPr>
      </w:pPr>
    </w:p>
    <w:p w:rsidR="00510A3D" w:rsidRPr="00DD6E35" w:rsidRDefault="00510A3D" w:rsidP="00510A3D">
      <w:pPr>
        <w:pBdr>
          <w:top w:val="single" w:sz="4" w:space="1" w:color="auto"/>
          <w:left w:val="single" w:sz="4" w:space="4" w:color="auto"/>
          <w:bottom w:val="single" w:sz="4" w:space="1" w:color="auto"/>
          <w:right w:val="single" w:sz="4" w:space="4" w:color="auto"/>
        </w:pBdr>
        <w:spacing w:line="254" w:lineRule="auto"/>
        <w:ind w:left="1560" w:right="1701"/>
        <w:jc w:val="center"/>
        <w:rPr>
          <w:rFonts w:ascii="Calibri" w:eastAsia="Calibri" w:hAnsi="Calibri"/>
          <w:b/>
          <w:sz w:val="28"/>
          <w:szCs w:val="28"/>
          <w:lang w:eastAsia="en-US"/>
        </w:rPr>
      </w:pPr>
      <w:r w:rsidRPr="00DD6E35">
        <w:rPr>
          <w:rFonts w:ascii="Calibri" w:eastAsia="Calibri" w:hAnsi="Calibri"/>
          <w:b/>
          <w:sz w:val="28"/>
          <w:szCs w:val="28"/>
          <w:lang w:eastAsia="en-US"/>
        </w:rPr>
        <w:t xml:space="preserve">REGLEMENT RELATIF AU </w:t>
      </w:r>
    </w:p>
    <w:p w:rsidR="00510A3D" w:rsidRPr="00DD6E35" w:rsidRDefault="00510A3D" w:rsidP="00510A3D">
      <w:pPr>
        <w:pBdr>
          <w:top w:val="single" w:sz="4" w:space="1" w:color="auto"/>
          <w:left w:val="single" w:sz="4" w:space="4" w:color="auto"/>
          <w:bottom w:val="single" w:sz="4" w:space="1" w:color="auto"/>
          <w:right w:val="single" w:sz="4" w:space="4" w:color="auto"/>
        </w:pBdr>
        <w:spacing w:line="254" w:lineRule="auto"/>
        <w:ind w:left="1560" w:right="1701"/>
        <w:jc w:val="center"/>
        <w:rPr>
          <w:rFonts w:ascii="Calibri" w:eastAsia="Calibri" w:hAnsi="Calibri"/>
          <w:b/>
          <w:sz w:val="28"/>
          <w:szCs w:val="28"/>
          <w:lang w:eastAsia="en-US"/>
        </w:rPr>
      </w:pPr>
      <w:r w:rsidRPr="00DD6E35">
        <w:rPr>
          <w:rFonts w:ascii="Calibri" w:eastAsia="Calibri" w:hAnsi="Calibri"/>
          <w:b/>
          <w:sz w:val="28"/>
          <w:szCs w:val="28"/>
          <w:lang w:eastAsia="en-US"/>
        </w:rPr>
        <w:t xml:space="preserve">CREDIT DEPARTEMENTAL D’EQUIPEMENT </w:t>
      </w:r>
    </w:p>
    <w:p w:rsidR="00510A3D" w:rsidRPr="00DD6E35" w:rsidRDefault="00510A3D" w:rsidP="00510A3D">
      <w:pPr>
        <w:pBdr>
          <w:top w:val="single" w:sz="4" w:space="1" w:color="auto"/>
          <w:left w:val="single" w:sz="4" w:space="4" w:color="auto"/>
          <w:bottom w:val="single" w:sz="4" w:space="1" w:color="auto"/>
          <w:right w:val="single" w:sz="4" w:space="4" w:color="auto"/>
        </w:pBdr>
        <w:spacing w:line="254" w:lineRule="auto"/>
        <w:ind w:left="1560" w:right="1701"/>
        <w:jc w:val="center"/>
        <w:rPr>
          <w:rFonts w:ascii="Calibri" w:eastAsia="Calibri" w:hAnsi="Calibri"/>
          <w:b/>
          <w:sz w:val="28"/>
          <w:szCs w:val="28"/>
          <w:lang w:eastAsia="en-US"/>
        </w:rPr>
      </w:pPr>
      <w:r w:rsidRPr="00DD6E35">
        <w:rPr>
          <w:rFonts w:ascii="Calibri" w:eastAsia="Calibri" w:hAnsi="Calibri"/>
          <w:b/>
          <w:sz w:val="28"/>
          <w:szCs w:val="28"/>
          <w:lang w:eastAsia="en-US"/>
        </w:rPr>
        <w:t>ADOPTE PAR DELIBERATION DU CONSEIL DEPARTEMENTAL</w:t>
      </w:r>
      <w:bookmarkStart w:id="0" w:name="_GoBack"/>
      <w:bookmarkEnd w:id="0"/>
      <w:r w:rsidRPr="00DD6E35">
        <w:rPr>
          <w:rFonts w:ascii="Calibri" w:eastAsia="Calibri" w:hAnsi="Calibri"/>
          <w:b/>
          <w:sz w:val="28"/>
          <w:szCs w:val="28"/>
          <w:lang w:eastAsia="en-US"/>
        </w:rPr>
        <w:t xml:space="preserve">  EN DATE DU 24 JUIN 2022</w:t>
      </w:r>
    </w:p>
    <w:p w:rsidR="00510A3D" w:rsidRPr="00DD6E35" w:rsidRDefault="00510A3D" w:rsidP="00510A3D">
      <w:pPr>
        <w:spacing w:line="254" w:lineRule="auto"/>
        <w:jc w:val="center"/>
        <w:rPr>
          <w:rFonts w:ascii="Calibri" w:eastAsia="Calibri" w:hAnsi="Calibri"/>
          <w:b/>
          <w:sz w:val="22"/>
          <w:szCs w:val="22"/>
          <w:lang w:eastAsia="en-US"/>
        </w:rPr>
      </w:pPr>
    </w:p>
    <w:p w:rsidR="00510A3D" w:rsidRDefault="00510A3D" w:rsidP="00510A3D">
      <w:pPr>
        <w:spacing w:line="254" w:lineRule="auto"/>
        <w:jc w:val="center"/>
        <w:rPr>
          <w:rFonts w:ascii="Calibri" w:eastAsia="Calibri" w:hAnsi="Calibri"/>
          <w:b/>
          <w:sz w:val="22"/>
          <w:szCs w:val="22"/>
          <w:lang w:eastAsia="en-US"/>
        </w:rPr>
      </w:pPr>
    </w:p>
    <w:p w:rsidR="00510A3D" w:rsidRPr="00DD6E35" w:rsidRDefault="00510A3D" w:rsidP="00510A3D">
      <w:pPr>
        <w:spacing w:line="254" w:lineRule="auto"/>
        <w:jc w:val="center"/>
        <w:rPr>
          <w:rFonts w:ascii="Calibri" w:eastAsia="Calibri" w:hAnsi="Calibri"/>
          <w:b/>
          <w:sz w:val="22"/>
          <w:szCs w:val="22"/>
          <w:lang w:eastAsia="en-US"/>
        </w:rPr>
      </w:pPr>
    </w:p>
    <w:p w:rsidR="00510A3D" w:rsidRPr="00DD6E35" w:rsidRDefault="00510A3D" w:rsidP="00510A3D">
      <w:pPr>
        <w:spacing w:line="254" w:lineRule="auto"/>
        <w:jc w:val="center"/>
        <w:rPr>
          <w:rFonts w:ascii="Calibri" w:eastAsia="Calibri" w:hAnsi="Calibri"/>
          <w:b/>
          <w:sz w:val="22"/>
          <w:szCs w:val="22"/>
          <w:lang w:eastAsia="en-US"/>
        </w:rPr>
      </w:pPr>
    </w:p>
    <w:p w:rsidR="00510A3D" w:rsidRPr="00DD6E35" w:rsidRDefault="00510A3D" w:rsidP="00510A3D">
      <w:pPr>
        <w:rPr>
          <w:rFonts w:ascii="Arial" w:eastAsia="Calibri" w:hAnsi="Arial" w:cs="Arial"/>
          <w:b/>
          <w:sz w:val="22"/>
          <w:szCs w:val="22"/>
          <w:u w:val="single"/>
          <w:lang w:eastAsia="en-US"/>
        </w:rPr>
      </w:pPr>
      <w:r w:rsidRPr="00DD6E35">
        <w:rPr>
          <w:rFonts w:ascii="Arial" w:eastAsia="Calibri" w:hAnsi="Arial" w:cs="Arial"/>
          <w:b/>
          <w:sz w:val="22"/>
          <w:szCs w:val="22"/>
          <w:u w:val="single"/>
          <w:lang w:eastAsia="en-US"/>
        </w:rPr>
        <w:t>Préambule</w:t>
      </w:r>
    </w:p>
    <w:p w:rsidR="00510A3D" w:rsidRPr="00DD6E35" w:rsidRDefault="00510A3D" w:rsidP="00510A3D">
      <w:pPr>
        <w:rPr>
          <w:rFonts w:ascii="Arial" w:eastAsia="Calibri" w:hAnsi="Arial" w:cs="Arial"/>
          <w:b/>
          <w:sz w:val="22"/>
          <w:szCs w:val="22"/>
          <w:u w:val="single"/>
          <w:lang w:eastAsia="en-US"/>
        </w:rPr>
      </w:pPr>
    </w:p>
    <w:p w:rsidR="00510A3D" w:rsidRPr="00DD6E35" w:rsidRDefault="00510A3D" w:rsidP="00510A3D">
      <w:pPr>
        <w:jc w:val="both"/>
        <w:rPr>
          <w:rFonts w:ascii="Arial" w:eastAsia="Calibri" w:hAnsi="Arial" w:cs="Arial"/>
          <w:sz w:val="22"/>
          <w:szCs w:val="22"/>
          <w:lang w:eastAsia="en-US"/>
        </w:rPr>
      </w:pPr>
      <w:r w:rsidRPr="00DD6E35">
        <w:rPr>
          <w:rFonts w:ascii="Arial" w:eastAsia="Calibri" w:hAnsi="Arial" w:cs="Arial"/>
          <w:sz w:val="22"/>
          <w:szCs w:val="22"/>
          <w:lang w:eastAsia="en-US"/>
        </w:rPr>
        <w:t>Avec le Pacte pour les Gardois et le Contrat Territorial, le Département a défini les modalités de soutien financier des projets des communes et de leurs groupements.</w:t>
      </w:r>
    </w:p>
    <w:p w:rsidR="00510A3D" w:rsidRPr="00DD6E35" w:rsidRDefault="00510A3D" w:rsidP="00510A3D">
      <w:pPr>
        <w:jc w:val="both"/>
        <w:rPr>
          <w:rFonts w:ascii="Arial" w:eastAsia="Calibri" w:hAnsi="Arial" w:cs="Arial"/>
          <w:sz w:val="22"/>
          <w:szCs w:val="22"/>
          <w:lang w:eastAsia="en-US"/>
        </w:rPr>
      </w:pPr>
    </w:p>
    <w:p w:rsidR="00510A3D" w:rsidRPr="00DD6E35" w:rsidRDefault="00510A3D" w:rsidP="00510A3D">
      <w:pPr>
        <w:jc w:val="both"/>
        <w:rPr>
          <w:rFonts w:ascii="Arial" w:eastAsia="Calibri" w:hAnsi="Arial" w:cs="Arial"/>
          <w:sz w:val="22"/>
          <w:szCs w:val="22"/>
          <w:lang w:eastAsia="en-US"/>
        </w:rPr>
      </w:pPr>
      <w:r w:rsidRPr="00DD6E35">
        <w:rPr>
          <w:rFonts w:ascii="Arial" w:eastAsia="Calibri" w:hAnsi="Arial" w:cs="Arial"/>
          <w:sz w:val="22"/>
          <w:szCs w:val="22"/>
          <w:lang w:eastAsia="en-US"/>
        </w:rPr>
        <w:t>Le Contrat Territorial est établi sur les quatre règlements suivants :</w:t>
      </w:r>
    </w:p>
    <w:p w:rsidR="00510A3D" w:rsidRPr="00DD6E35" w:rsidRDefault="00510A3D" w:rsidP="00510A3D">
      <w:pPr>
        <w:numPr>
          <w:ilvl w:val="0"/>
          <w:numId w:val="2"/>
        </w:numPr>
        <w:contextualSpacing/>
        <w:jc w:val="both"/>
        <w:rPr>
          <w:rFonts w:ascii="Arial" w:eastAsia="Calibri" w:hAnsi="Arial" w:cs="Arial"/>
          <w:sz w:val="22"/>
          <w:szCs w:val="22"/>
          <w:lang w:eastAsia="en-US"/>
        </w:rPr>
      </w:pPr>
      <w:r w:rsidRPr="00DD6E35">
        <w:rPr>
          <w:rFonts w:ascii="Arial" w:eastAsia="Calibri" w:hAnsi="Arial" w:cs="Arial"/>
          <w:sz w:val="22"/>
          <w:szCs w:val="22"/>
          <w:lang w:eastAsia="en-US"/>
        </w:rPr>
        <w:t>Crédit Départemental d’Equipement</w:t>
      </w:r>
    </w:p>
    <w:p w:rsidR="00510A3D" w:rsidRPr="00DD6E35" w:rsidRDefault="00510A3D" w:rsidP="00510A3D">
      <w:pPr>
        <w:numPr>
          <w:ilvl w:val="0"/>
          <w:numId w:val="2"/>
        </w:numPr>
        <w:contextualSpacing/>
        <w:jc w:val="both"/>
        <w:rPr>
          <w:rFonts w:ascii="Arial" w:eastAsia="Calibri" w:hAnsi="Arial" w:cs="Arial"/>
          <w:sz w:val="22"/>
          <w:szCs w:val="22"/>
          <w:lang w:eastAsia="en-US"/>
        </w:rPr>
      </w:pPr>
      <w:r w:rsidRPr="00DD6E35">
        <w:rPr>
          <w:rFonts w:ascii="Arial" w:eastAsia="Calibri" w:hAnsi="Arial" w:cs="Arial"/>
          <w:sz w:val="22"/>
          <w:szCs w:val="22"/>
          <w:lang w:eastAsia="en-US"/>
        </w:rPr>
        <w:t>Traversées d’Agglomération</w:t>
      </w:r>
    </w:p>
    <w:p w:rsidR="00510A3D" w:rsidRPr="00DD6E35" w:rsidRDefault="00510A3D" w:rsidP="00510A3D">
      <w:pPr>
        <w:numPr>
          <w:ilvl w:val="0"/>
          <w:numId w:val="2"/>
        </w:numPr>
        <w:contextualSpacing/>
        <w:jc w:val="both"/>
        <w:rPr>
          <w:rFonts w:ascii="Arial" w:eastAsia="Calibri" w:hAnsi="Arial" w:cs="Arial"/>
          <w:sz w:val="22"/>
          <w:szCs w:val="22"/>
          <w:lang w:eastAsia="en-US"/>
        </w:rPr>
      </w:pPr>
      <w:r w:rsidRPr="00DD6E35">
        <w:rPr>
          <w:rFonts w:ascii="Arial" w:eastAsia="Calibri" w:hAnsi="Arial" w:cs="Arial"/>
          <w:sz w:val="22"/>
          <w:szCs w:val="22"/>
          <w:lang w:eastAsia="en-US"/>
        </w:rPr>
        <w:t>Monuments Historiques</w:t>
      </w:r>
    </w:p>
    <w:p w:rsidR="00510A3D" w:rsidRPr="00DD6E35" w:rsidRDefault="00510A3D" w:rsidP="00510A3D">
      <w:pPr>
        <w:numPr>
          <w:ilvl w:val="0"/>
          <w:numId w:val="2"/>
        </w:numPr>
        <w:contextualSpacing/>
        <w:jc w:val="both"/>
        <w:rPr>
          <w:rFonts w:ascii="Arial" w:eastAsia="Calibri" w:hAnsi="Arial" w:cs="Arial"/>
          <w:sz w:val="22"/>
          <w:szCs w:val="22"/>
          <w:lang w:eastAsia="en-US"/>
        </w:rPr>
      </w:pPr>
      <w:r w:rsidRPr="00DD6E35">
        <w:rPr>
          <w:rFonts w:ascii="Arial" w:eastAsia="Calibri" w:hAnsi="Arial" w:cs="Arial"/>
          <w:sz w:val="22"/>
          <w:szCs w:val="22"/>
          <w:lang w:eastAsia="en-US"/>
        </w:rPr>
        <w:t>Eau et assainissement.</w:t>
      </w:r>
    </w:p>
    <w:p w:rsidR="00510A3D" w:rsidRPr="00DD6E35" w:rsidRDefault="00510A3D" w:rsidP="00510A3D">
      <w:pPr>
        <w:ind w:left="720"/>
        <w:contextualSpacing/>
        <w:jc w:val="both"/>
        <w:rPr>
          <w:rFonts w:ascii="Arial" w:eastAsia="Calibri" w:hAnsi="Arial" w:cs="Arial"/>
          <w:sz w:val="22"/>
          <w:szCs w:val="22"/>
          <w:lang w:eastAsia="en-US"/>
        </w:rPr>
      </w:pPr>
    </w:p>
    <w:p w:rsidR="00510A3D" w:rsidRPr="00DD6E35" w:rsidRDefault="00510A3D" w:rsidP="00510A3D">
      <w:pPr>
        <w:jc w:val="both"/>
        <w:rPr>
          <w:rFonts w:ascii="Arial" w:eastAsia="Calibri" w:hAnsi="Arial" w:cs="Arial"/>
          <w:sz w:val="22"/>
          <w:szCs w:val="22"/>
          <w:lang w:eastAsia="en-US"/>
        </w:rPr>
      </w:pPr>
      <w:r w:rsidRPr="00DD6E35">
        <w:rPr>
          <w:rFonts w:ascii="Arial" w:eastAsia="Calibri" w:hAnsi="Arial" w:cs="Arial"/>
          <w:sz w:val="22"/>
          <w:szCs w:val="22"/>
          <w:lang w:eastAsia="en-US"/>
        </w:rPr>
        <w:t>Le Contrat Territorial pour chacun des règlements cités ci-dessus s’appuie sur les principes généraux suivants :</w:t>
      </w:r>
    </w:p>
    <w:p w:rsidR="00510A3D" w:rsidRPr="00DD6E35" w:rsidRDefault="00510A3D" w:rsidP="00510A3D">
      <w:pPr>
        <w:jc w:val="both"/>
        <w:rPr>
          <w:rFonts w:ascii="Arial" w:eastAsia="Calibri" w:hAnsi="Arial" w:cs="Arial"/>
          <w:sz w:val="22"/>
          <w:szCs w:val="22"/>
          <w:lang w:eastAsia="en-US"/>
        </w:rPr>
      </w:pPr>
    </w:p>
    <w:p w:rsidR="00510A3D" w:rsidRPr="00DD6E35" w:rsidRDefault="00510A3D" w:rsidP="00510A3D">
      <w:pPr>
        <w:numPr>
          <w:ilvl w:val="0"/>
          <w:numId w:val="2"/>
        </w:numPr>
        <w:contextualSpacing/>
        <w:jc w:val="both"/>
        <w:rPr>
          <w:rFonts w:ascii="Arial" w:eastAsia="Calibri" w:hAnsi="Arial" w:cs="Arial"/>
          <w:sz w:val="22"/>
          <w:szCs w:val="22"/>
          <w:lang w:eastAsia="en-US"/>
        </w:rPr>
      </w:pPr>
      <w:r w:rsidRPr="00DD6E35">
        <w:rPr>
          <w:rFonts w:ascii="Arial" w:eastAsia="Calibri" w:hAnsi="Arial" w:cs="Arial"/>
          <w:sz w:val="22"/>
          <w:szCs w:val="22"/>
          <w:lang w:eastAsia="en-US"/>
        </w:rPr>
        <w:t>Il se traduit par un montant maximum de subvention mobilisable, sur la durée d’un Contrat, à raison d’un seul dossier par an et par bénéficiaire.</w:t>
      </w:r>
    </w:p>
    <w:p w:rsidR="00510A3D" w:rsidRPr="00DD6E35" w:rsidRDefault="00510A3D" w:rsidP="00510A3D">
      <w:pPr>
        <w:ind w:left="720"/>
        <w:contextualSpacing/>
        <w:jc w:val="both"/>
        <w:rPr>
          <w:rFonts w:ascii="Arial" w:eastAsia="Calibri" w:hAnsi="Arial" w:cs="Arial"/>
          <w:color w:val="4472C4"/>
          <w:sz w:val="22"/>
          <w:szCs w:val="22"/>
          <w:lang w:eastAsia="en-US"/>
        </w:rPr>
      </w:pPr>
    </w:p>
    <w:p w:rsidR="00510A3D" w:rsidRPr="00DD6E35" w:rsidRDefault="00510A3D" w:rsidP="00510A3D">
      <w:pPr>
        <w:numPr>
          <w:ilvl w:val="0"/>
          <w:numId w:val="2"/>
        </w:numPr>
        <w:contextualSpacing/>
        <w:jc w:val="both"/>
        <w:rPr>
          <w:rFonts w:ascii="Arial" w:hAnsi="Arial" w:cs="Arial"/>
          <w:sz w:val="22"/>
          <w:szCs w:val="22"/>
        </w:rPr>
      </w:pPr>
      <w:r w:rsidRPr="00DD6E35">
        <w:rPr>
          <w:rFonts w:ascii="Arial" w:hAnsi="Arial" w:cs="Arial"/>
          <w:b/>
          <w:sz w:val="22"/>
          <w:szCs w:val="22"/>
        </w:rPr>
        <w:t>Pour les communes</w:t>
      </w:r>
      <w:r w:rsidRPr="00DD6E35">
        <w:rPr>
          <w:rFonts w:ascii="Arial" w:hAnsi="Arial" w:cs="Arial"/>
          <w:sz w:val="22"/>
          <w:szCs w:val="22"/>
        </w:rPr>
        <w:t xml:space="preserve"> bénéficiant d’un Contrat Territorial « Traversée d’Agglomération » en cours, il sera possible de signer un autre contrat territorial hors « traversée d’Agglomération » dès lors </w:t>
      </w:r>
      <w:r>
        <w:rPr>
          <w:rFonts w:ascii="Arial" w:hAnsi="Arial" w:cs="Arial"/>
          <w:sz w:val="22"/>
          <w:szCs w:val="22"/>
        </w:rPr>
        <w:t>que le Département les votera sur deux années civiles différentes</w:t>
      </w:r>
      <w:r w:rsidRPr="00DD6E35">
        <w:rPr>
          <w:rFonts w:ascii="Arial" w:hAnsi="Arial" w:cs="Arial"/>
          <w:sz w:val="22"/>
          <w:szCs w:val="22"/>
        </w:rPr>
        <w:t>.</w:t>
      </w:r>
    </w:p>
    <w:p w:rsidR="00510A3D" w:rsidRPr="00DD6E35" w:rsidRDefault="00510A3D" w:rsidP="00510A3D">
      <w:pPr>
        <w:ind w:left="720"/>
        <w:contextualSpacing/>
        <w:jc w:val="both"/>
        <w:rPr>
          <w:rFonts w:ascii="Arial" w:hAnsi="Arial" w:cs="Arial"/>
          <w:sz w:val="22"/>
          <w:szCs w:val="22"/>
        </w:rPr>
      </w:pPr>
    </w:p>
    <w:p w:rsidR="00510A3D" w:rsidRPr="00DD6E35" w:rsidRDefault="00510A3D" w:rsidP="00510A3D">
      <w:pPr>
        <w:ind w:left="720"/>
        <w:contextualSpacing/>
        <w:jc w:val="both"/>
        <w:rPr>
          <w:rFonts w:ascii="Arial" w:hAnsi="Arial" w:cs="Arial"/>
          <w:sz w:val="22"/>
          <w:szCs w:val="22"/>
        </w:rPr>
      </w:pPr>
      <w:r w:rsidRPr="00DD6E35">
        <w:rPr>
          <w:rFonts w:ascii="Arial" w:hAnsi="Arial" w:cs="Arial"/>
          <w:sz w:val="22"/>
          <w:szCs w:val="22"/>
        </w:rPr>
        <w:t xml:space="preserve">Inversement, pour les communes bénéficiant d’un Contrat Territorial hors « Traversée d’Agglomération » en cours, il sera possible de signer un autre contrat territorial « Traversée d’Agglomération » dès lors </w:t>
      </w:r>
      <w:r>
        <w:rPr>
          <w:rFonts w:ascii="Arial" w:hAnsi="Arial" w:cs="Arial"/>
          <w:sz w:val="22"/>
          <w:szCs w:val="22"/>
        </w:rPr>
        <w:t>que le Département les votera sur deux années civiles différentes</w:t>
      </w:r>
      <w:r w:rsidRPr="00DD6E35">
        <w:rPr>
          <w:rFonts w:ascii="Arial" w:hAnsi="Arial" w:cs="Arial"/>
          <w:sz w:val="22"/>
          <w:szCs w:val="22"/>
        </w:rPr>
        <w:t>.</w:t>
      </w:r>
    </w:p>
    <w:p w:rsidR="00510A3D" w:rsidRPr="00DD6E35" w:rsidRDefault="00510A3D" w:rsidP="00510A3D">
      <w:pPr>
        <w:ind w:left="720"/>
        <w:contextualSpacing/>
        <w:jc w:val="both"/>
        <w:rPr>
          <w:rFonts w:ascii="Arial" w:hAnsi="Arial" w:cs="Arial"/>
          <w:sz w:val="22"/>
          <w:szCs w:val="22"/>
        </w:rPr>
      </w:pPr>
    </w:p>
    <w:p w:rsidR="00510A3D" w:rsidRPr="00DD6E35" w:rsidRDefault="00510A3D" w:rsidP="00510A3D">
      <w:pPr>
        <w:ind w:left="720"/>
        <w:contextualSpacing/>
        <w:jc w:val="both"/>
        <w:rPr>
          <w:rFonts w:ascii="Arial" w:hAnsi="Arial" w:cs="Arial"/>
          <w:sz w:val="22"/>
          <w:szCs w:val="22"/>
        </w:rPr>
      </w:pPr>
      <w:bookmarkStart w:id="1" w:name="_Hlk102739798"/>
      <w:r w:rsidRPr="00DD6E35">
        <w:rPr>
          <w:rFonts w:ascii="Arial" w:hAnsi="Arial" w:cs="Arial"/>
          <w:sz w:val="22"/>
          <w:szCs w:val="22"/>
        </w:rPr>
        <w:t>En dehors de ces cas les communes devront avoir soldé leur opération en cours pour bénéficier d’un nouveau contrat.</w:t>
      </w:r>
    </w:p>
    <w:p w:rsidR="00510A3D" w:rsidRPr="00DD6E35" w:rsidRDefault="00510A3D" w:rsidP="00510A3D">
      <w:pPr>
        <w:ind w:left="720"/>
        <w:contextualSpacing/>
        <w:jc w:val="both"/>
        <w:rPr>
          <w:rFonts w:ascii="Arial" w:hAnsi="Arial" w:cs="Arial"/>
          <w:sz w:val="22"/>
          <w:szCs w:val="22"/>
        </w:rPr>
      </w:pPr>
    </w:p>
    <w:p w:rsidR="00510A3D" w:rsidRPr="00DD6E35" w:rsidRDefault="00510A3D" w:rsidP="00510A3D">
      <w:pPr>
        <w:numPr>
          <w:ilvl w:val="0"/>
          <w:numId w:val="2"/>
        </w:numPr>
        <w:contextualSpacing/>
        <w:jc w:val="both"/>
        <w:rPr>
          <w:rFonts w:ascii="Arial" w:hAnsi="Arial" w:cs="Arial"/>
          <w:sz w:val="22"/>
          <w:szCs w:val="22"/>
        </w:rPr>
      </w:pPr>
      <w:r w:rsidRPr="00DD6E35">
        <w:rPr>
          <w:rFonts w:ascii="Arial" w:hAnsi="Arial" w:cs="Arial"/>
          <w:b/>
          <w:sz w:val="22"/>
          <w:szCs w:val="22"/>
        </w:rPr>
        <w:t>Pour les EPCI</w:t>
      </w:r>
      <w:r w:rsidRPr="00DD6E35">
        <w:rPr>
          <w:rFonts w:ascii="Arial" w:hAnsi="Arial" w:cs="Arial"/>
          <w:sz w:val="22"/>
          <w:szCs w:val="22"/>
        </w:rPr>
        <w:t xml:space="preserve">, bénéficiant d’un Contrat Territorial en cours, il sera possible de signer un autre Contrat Territorial, dès lors </w:t>
      </w:r>
      <w:r>
        <w:rPr>
          <w:rFonts w:ascii="Arial" w:hAnsi="Arial" w:cs="Arial"/>
          <w:sz w:val="22"/>
          <w:szCs w:val="22"/>
        </w:rPr>
        <w:t>que le Département les votera sur deux années civiles différentes</w:t>
      </w:r>
      <w:r w:rsidRPr="00DD6E35">
        <w:rPr>
          <w:rFonts w:ascii="Arial" w:hAnsi="Arial" w:cs="Arial"/>
          <w:sz w:val="22"/>
          <w:szCs w:val="22"/>
        </w:rPr>
        <w:t>.</w:t>
      </w:r>
      <w:bookmarkEnd w:id="1"/>
    </w:p>
    <w:p w:rsidR="00510A3D" w:rsidRPr="00DD6E35" w:rsidRDefault="00510A3D" w:rsidP="00510A3D">
      <w:pPr>
        <w:ind w:left="720"/>
        <w:contextualSpacing/>
        <w:jc w:val="both"/>
        <w:rPr>
          <w:rFonts w:ascii="Arial" w:hAnsi="Arial" w:cs="Arial"/>
          <w:sz w:val="22"/>
          <w:szCs w:val="22"/>
        </w:rPr>
      </w:pPr>
    </w:p>
    <w:p w:rsidR="00510A3D" w:rsidRPr="00DD6E35" w:rsidRDefault="00510A3D" w:rsidP="00510A3D">
      <w:pPr>
        <w:numPr>
          <w:ilvl w:val="0"/>
          <w:numId w:val="2"/>
        </w:numPr>
        <w:contextualSpacing/>
        <w:jc w:val="both"/>
        <w:rPr>
          <w:rFonts w:ascii="Arial" w:hAnsi="Arial" w:cs="Arial"/>
          <w:sz w:val="22"/>
          <w:szCs w:val="22"/>
        </w:rPr>
      </w:pPr>
      <w:r w:rsidRPr="00DD6E35">
        <w:rPr>
          <w:rFonts w:ascii="Arial" w:hAnsi="Arial" w:cs="Arial"/>
          <w:sz w:val="22"/>
          <w:szCs w:val="22"/>
        </w:rPr>
        <w:t>À tout moment, les bénéficiaires ne peuvent cumuler plus de deux Contrats Territoriaux</w:t>
      </w:r>
    </w:p>
    <w:p w:rsidR="00510A3D" w:rsidRDefault="00510A3D" w:rsidP="00510A3D">
      <w:pPr>
        <w:jc w:val="both"/>
        <w:rPr>
          <w:rFonts w:ascii="Arial" w:eastAsia="Calibri" w:hAnsi="Arial" w:cs="Arial"/>
          <w:sz w:val="22"/>
          <w:szCs w:val="22"/>
          <w:lang w:eastAsia="en-US"/>
        </w:rPr>
      </w:pPr>
    </w:p>
    <w:p w:rsidR="00510A3D" w:rsidRDefault="00510A3D" w:rsidP="00510A3D">
      <w:pPr>
        <w:jc w:val="both"/>
        <w:rPr>
          <w:rFonts w:ascii="Arial" w:eastAsia="Calibri" w:hAnsi="Arial" w:cs="Arial"/>
          <w:sz w:val="22"/>
          <w:szCs w:val="22"/>
          <w:lang w:eastAsia="en-US"/>
        </w:rPr>
      </w:pPr>
    </w:p>
    <w:p w:rsidR="00510A3D" w:rsidRDefault="00510A3D" w:rsidP="00510A3D">
      <w:pPr>
        <w:jc w:val="both"/>
        <w:rPr>
          <w:rFonts w:ascii="Arial" w:eastAsia="Calibri" w:hAnsi="Arial" w:cs="Arial"/>
          <w:sz w:val="22"/>
          <w:szCs w:val="22"/>
          <w:lang w:eastAsia="en-US"/>
        </w:rPr>
      </w:pPr>
    </w:p>
    <w:p w:rsidR="00510A3D" w:rsidRPr="00DD6E35" w:rsidRDefault="00510A3D" w:rsidP="00510A3D">
      <w:pPr>
        <w:jc w:val="both"/>
        <w:rPr>
          <w:rFonts w:ascii="Arial" w:eastAsia="Calibri" w:hAnsi="Arial" w:cs="Arial"/>
          <w:sz w:val="22"/>
          <w:szCs w:val="22"/>
          <w:lang w:eastAsia="en-US"/>
        </w:rPr>
      </w:pPr>
    </w:p>
    <w:p w:rsidR="00510A3D" w:rsidRPr="00DD6E35" w:rsidRDefault="00510A3D" w:rsidP="00510A3D">
      <w:pPr>
        <w:jc w:val="both"/>
        <w:rPr>
          <w:rFonts w:ascii="Arial" w:eastAsia="Calibri" w:hAnsi="Arial" w:cs="Arial"/>
          <w:b/>
          <w:sz w:val="22"/>
          <w:szCs w:val="22"/>
          <w:u w:val="single"/>
          <w:lang w:eastAsia="en-US"/>
        </w:rPr>
      </w:pPr>
      <w:r w:rsidRPr="00DD6E35">
        <w:rPr>
          <w:rFonts w:ascii="Arial" w:eastAsia="Calibri" w:hAnsi="Arial" w:cs="Arial"/>
          <w:b/>
          <w:sz w:val="22"/>
          <w:szCs w:val="22"/>
          <w:u w:val="single"/>
          <w:lang w:eastAsia="en-US"/>
        </w:rPr>
        <w:t xml:space="preserve">Article 1 – Bénéficiaires : </w:t>
      </w:r>
    </w:p>
    <w:p w:rsidR="00510A3D" w:rsidRPr="00DD6E35" w:rsidRDefault="00510A3D" w:rsidP="00510A3D">
      <w:pPr>
        <w:jc w:val="both"/>
        <w:rPr>
          <w:rFonts w:ascii="Arial" w:eastAsia="Calibri" w:hAnsi="Arial" w:cs="Arial"/>
          <w:b/>
          <w:sz w:val="22"/>
          <w:szCs w:val="22"/>
          <w:u w:val="single"/>
          <w:lang w:eastAsia="en-US"/>
        </w:rPr>
      </w:pPr>
    </w:p>
    <w:p w:rsidR="00510A3D" w:rsidRPr="00DD6E35" w:rsidRDefault="00510A3D" w:rsidP="00510A3D">
      <w:pPr>
        <w:jc w:val="both"/>
        <w:rPr>
          <w:rFonts w:ascii="Arial" w:eastAsia="Calibri" w:hAnsi="Arial" w:cs="Arial"/>
          <w:sz w:val="22"/>
          <w:szCs w:val="22"/>
          <w:lang w:eastAsia="en-US"/>
        </w:rPr>
      </w:pPr>
      <w:r w:rsidRPr="00DD6E35">
        <w:rPr>
          <w:rFonts w:ascii="Arial" w:eastAsia="Calibri" w:hAnsi="Arial" w:cs="Arial"/>
          <w:sz w:val="22"/>
          <w:szCs w:val="22"/>
          <w:lang w:eastAsia="en-US"/>
        </w:rPr>
        <w:t>Communes et leurs groupements.</w:t>
      </w:r>
    </w:p>
    <w:p w:rsidR="00510A3D" w:rsidRPr="00DD6E35" w:rsidRDefault="00510A3D" w:rsidP="00510A3D">
      <w:pPr>
        <w:jc w:val="both"/>
        <w:rPr>
          <w:rFonts w:ascii="Arial" w:eastAsia="Calibri" w:hAnsi="Arial" w:cs="Arial"/>
          <w:sz w:val="22"/>
          <w:szCs w:val="22"/>
          <w:lang w:eastAsia="en-US"/>
        </w:rPr>
      </w:pPr>
    </w:p>
    <w:p w:rsidR="00510A3D" w:rsidRPr="00DD6E35" w:rsidRDefault="00510A3D" w:rsidP="00510A3D">
      <w:pPr>
        <w:jc w:val="both"/>
        <w:rPr>
          <w:rFonts w:ascii="Arial" w:eastAsia="Calibri" w:hAnsi="Arial" w:cs="Arial"/>
          <w:sz w:val="22"/>
          <w:szCs w:val="22"/>
          <w:lang w:eastAsia="en-US"/>
        </w:rPr>
      </w:pPr>
    </w:p>
    <w:p w:rsidR="00510A3D" w:rsidRPr="00DD6E35" w:rsidRDefault="00510A3D" w:rsidP="00510A3D">
      <w:pPr>
        <w:jc w:val="both"/>
        <w:rPr>
          <w:rFonts w:ascii="Arial" w:eastAsia="Calibri" w:hAnsi="Arial" w:cs="Arial"/>
          <w:b/>
          <w:sz w:val="22"/>
          <w:szCs w:val="22"/>
          <w:u w:val="single"/>
          <w:lang w:eastAsia="en-US"/>
        </w:rPr>
      </w:pPr>
      <w:r w:rsidRPr="00DD6E35">
        <w:rPr>
          <w:rFonts w:ascii="Arial" w:eastAsia="Calibri" w:hAnsi="Arial" w:cs="Arial"/>
          <w:b/>
          <w:sz w:val="22"/>
          <w:szCs w:val="22"/>
          <w:u w:val="single"/>
          <w:lang w:eastAsia="en-US"/>
        </w:rPr>
        <w:t>Article 2 – Nature des dépenses subventionnables :</w:t>
      </w:r>
    </w:p>
    <w:p w:rsidR="00510A3D" w:rsidRPr="00DD6E35" w:rsidRDefault="00510A3D" w:rsidP="00510A3D">
      <w:pPr>
        <w:spacing w:line="254" w:lineRule="auto"/>
        <w:jc w:val="both"/>
        <w:rPr>
          <w:rFonts w:ascii="Arial" w:eastAsia="Calibri" w:hAnsi="Arial" w:cs="Arial"/>
          <w:b/>
          <w:sz w:val="22"/>
          <w:szCs w:val="22"/>
          <w:u w:val="single"/>
          <w:lang w:eastAsia="en-US"/>
        </w:rPr>
      </w:pPr>
    </w:p>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t xml:space="preserve">Est éligible à ce crédit toute opération d’investissement dans tous domaines choisis librement par les collectivités </w:t>
      </w:r>
      <w:proofErr w:type="gramStart"/>
      <w:r w:rsidRPr="00DD6E35">
        <w:rPr>
          <w:rFonts w:ascii="Arial" w:eastAsia="Calibri" w:hAnsi="Arial" w:cs="Arial"/>
          <w:sz w:val="22"/>
          <w:szCs w:val="22"/>
          <w:lang w:eastAsia="en-US"/>
        </w:rPr>
        <w:t>hors</w:t>
      </w:r>
      <w:proofErr w:type="gramEnd"/>
      <w:r w:rsidRPr="00DD6E35">
        <w:rPr>
          <w:rFonts w:ascii="Arial" w:eastAsia="Calibri" w:hAnsi="Arial" w:cs="Arial"/>
          <w:sz w:val="22"/>
          <w:szCs w:val="22"/>
          <w:lang w:eastAsia="en-US"/>
        </w:rPr>
        <w:t xml:space="preserve"> ceux relevant des autres dispositifs de subvention en vigueur.</w:t>
      </w:r>
    </w:p>
    <w:p w:rsidR="00510A3D" w:rsidRPr="00DD6E35" w:rsidRDefault="00510A3D" w:rsidP="00510A3D">
      <w:pPr>
        <w:spacing w:line="254" w:lineRule="auto"/>
        <w:jc w:val="both"/>
        <w:rPr>
          <w:rFonts w:ascii="Arial" w:eastAsia="Calibri" w:hAnsi="Arial" w:cs="Arial"/>
          <w:sz w:val="22"/>
          <w:szCs w:val="22"/>
          <w:lang w:eastAsia="en-US"/>
        </w:rPr>
      </w:pPr>
    </w:p>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t>Sont exclus les investissements qui génèrent des recettes d’exploitation significatives, (équipements de production d’énergie destinée à être revendue notamment), ainsi que les travaux d’aménagement sécuritaire concernant la voirie communale, financés au titre du dispositif « Amendes de Police », les acquisitions immobilières</w:t>
      </w:r>
      <w:r>
        <w:rPr>
          <w:rFonts w:ascii="Arial" w:eastAsia="Calibri" w:hAnsi="Arial" w:cs="Arial"/>
          <w:sz w:val="22"/>
          <w:szCs w:val="22"/>
          <w:lang w:eastAsia="en-US"/>
        </w:rPr>
        <w:t xml:space="preserve"> et la vidéo surveillance.</w:t>
      </w:r>
    </w:p>
    <w:p w:rsidR="00510A3D" w:rsidRPr="00DD6E35" w:rsidRDefault="00510A3D" w:rsidP="00510A3D">
      <w:pPr>
        <w:spacing w:line="254" w:lineRule="auto"/>
        <w:jc w:val="both"/>
        <w:rPr>
          <w:rFonts w:ascii="Arial" w:eastAsia="Calibri" w:hAnsi="Arial" w:cs="Arial"/>
          <w:sz w:val="22"/>
          <w:szCs w:val="22"/>
          <w:lang w:eastAsia="en-US"/>
        </w:rPr>
      </w:pPr>
    </w:p>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t>A titre exceptionnel, seul le soutien à la création et la réhabilitation des logements à vocation sociale pourra bénéficier d’un complément au titre du CDE pour les opérations en déséquilibre financier, en appliquant au montant de ce déséquilibre le taux d’aide précisé ci-dessous, à l’article 3.</w:t>
      </w:r>
    </w:p>
    <w:p w:rsidR="00510A3D" w:rsidRPr="00DD6E35" w:rsidRDefault="00510A3D" w:rsidP="00510A3D">
      <w:pPr>
        <w:spacing w:line="254" w:lineRule="auto"/>
        <w:jc w:val="both"/>
        <w:rPr>
          <w:rFonts w:ascii="Arial" w:eastAsia="Calibri" w:hAnsi="Arial" w:cs="Arial"/>
          <w:sz w:val="22"/>
          <w:szCs w:val="22"/>
          <w:lang w:eastAsia="en-US"/>
        </w:rPr>
      </w:pPr>
    </w:p>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t>Les études préalables de faisabilité du projet, faisant l’objet d’une imputation budgétaire en investissement et donnant lieu à la réalisation de travaux, pourront être prises en compte et donc incluses dans le dossier de demande de subvention et faire ainsi l’objet d’un financement dans les mêmes conditions que les travaux qui en découlent.</w:t>
      </w:r>
    </w:p>
    <w:p w:rsidR="00510A3D" w:rsidRPr="00DD6E35" w:rsidRDefault="00510A3D" w:rsidP="00510A3D">
      <w:pPr>
        <w:spacing w:line="254" w:lineRule="auto"/>
        <w:jc w:val="both"/>
        <w:rPr>
          <w:rFonts w:ascii="Arial" w:eastAsia="Calibri" w:hAnsi="Arial" w:cs="Arial"/>
          <w:sz w:val="22"/>
          <w:szCs w:val="22"/>
          <w:lang w:eastAsia="en-US"/>
        </w:rPr>
      </w:pPr>
    </w:p>
    <w:p w:rsidR="00510A3D" w:rsidRPr="00DD6E35" w:rsidRDefault="00510A3D" w:rsidP="00510A3D">
      <w:pPr>
        <w:spacing w:line="254" w:lineRule="auto"/>
        <w:rPr>
          <w:rFonts w:ascii="Arial" w:eastAsia="Calibri" w:hAnsi="Arial" w:cs="Arial"/>
          <w:b/>
          <w:sz w:val="22"/>
          <w:szCs w:val="22"/>
          <w:u w:val="single"/>
          <w:lang w:eastAsia="en-US"/>
        </w:rPr>
      </w:pPr>
      <w:r w:rsidRPr="00DD6E35">
        <w:rPr>
          <w:rFonts w:ascii="Arial" w:eastAsia="Calibri" w:hAnsi="Arial" w:cs="Arial"/>
          <w:b/>
          <w:sz w:val="22"/>
          <w:szCs w:val="22"/>
          <w:u w:val="single"/>
          <w:lang w:eastAsia="en-US"/>
        </w:rPr>
        <w:t xml:space="preserve">Article 3 – Taux d’aide maximum du Crédit Départemental d’Equipement : </w:t>
      </w:r>
    </w:p>
    <w:p w:rsidR="00510A3D" w:rsidRPr="00DD6E35" w:rsidRDefault="00510A3D" w:rsidP="00510A3D">
      <w:pPr>
        <w:spacing w:line="254" w:lineRule="auto"/>
        <w:rPr>
          <w:rFonts w:ascii="Arial" w:eastAsia="Calibri" w:hAnsi="Arial" w:cs="Arial"/>
          <w:b/>
          <w:sz w:val="22"/>
          <w:szCs w:val="22"/>
          <w:u w:val="single"/>
          <w:lang w:eastAsia="en-US"/>
        </w:rPr>
      </w:pPr>
    </w:p>
    <w:p w:rsidR="00510A3D" w:rsidRPr="00F424D9" w:rsidRDefault="00510A3D" w:rsidP="00510A3D">
      <w:pPr>
        <w:spacing w:line="254" w:lineRule="auto"/>
        <w:jc w:val="both"/>
        <w:rPr>
          <w:rFonts w:ascii="Arial" w:eastAsia="Calibri" w:hAnsi="Arial" w:cs="Arial"/>
          <w:b/>
          <w:sz w:val="22"/>
          <w:szCs w:val="22"/>
          <w:lang w:eastAsia="en-US"/>
        </w:rPr>
      </w:pPr>
      <w:r w:rsidRPr="00DD6E35">
        <w:rPr>
          <w:rFonts w:ascii="Arial" w:eastAsia="Calibri" w:hAnsi="Arial" w:cs="Arial"/>
          <w:sz w:val="22"/>
          <w:szCs w:val="22"/>
          <w:lang w:eastAsia="en-US"/>
        </w:rPr>
        <w:t xml:space="preserve">Le taux de l’aide sera dégressif selon le coût du projet. Il est défini par tranches de dépenses telles que présentées ci-dessous, afin d’aider tous les projets tout en maintenant un taux élevé (25%) pour les plus modestes, notamment ceux des petites communes, </w:t>
      </w:r>
      <w:r w:rsidRPr="00F424D9">
        <w:rPr>
          <w:rFonts w:ascii="Arial" w:eastAsia="Calibri" w:hAnsi="Arial" w:cs="Arial"/>
          <w:b/>
          <w:sz w:val="22"/>
          <w:szCs w:val="22"/>
          <w:lang w:eastAsia="en-US"/>
        </w:rPr>
        <w:t>à concurrence cependant du montant d’aide sollicité par le bénéficiaire.</w:t>
      </w:r>
    </w:p>
    <w:p w:rsidR="00510A3D" w:rsidRPr="00DD6E35" w:rsidRDefault="00510A3D" w:rsidP="00510A3D">
      <w:pPr>
        <w:spacing w:line="254" w:lineRule="auto"/>
        <w:rPr>
          <w:rFonts w:ascii="Arial" w:eastAsia="Calibri" w:hAnsi="Arial" w:cs="Arial"/>
          <w:b/>
          <w:sz w:val="22"/>
          <w:szCs w:val="22"/>
          <w:u w:val="single"/>
          <w:lang w:eastAsia="en-US"/>
        </w:rPr>
      </w:pPr>
    </w:p>
    <w:p w:rsidR="00510A3D" w:rsidRPr="00DD6E35" w:rsidRDefault="00510A3D" w:rsidP="00510A3D">
      <w:pPr>
        <w:spacing w:line="254" w:lineRule="auto"/>
        <w:rPr>
          <w:rFonts w:ascii="Arial" w:eastAsia="Calibri" w:hAnsi="Arial" w:cs="Arial"/>
          <w:sz w:val="22"/>
          <w:szCs w:val="22"/>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643"/>
        <w:gridCol w:w="1812"/>
        <w:gridCol w:w="1813"/>
        <w:gridCol w:w="1813"/>
      </w:tblGrid>
      <w:tr w:rsidR="00510A3D" w:rsidRPr="00DD6E35" w:rsidTr="003B599A">
        <w:trPr>
          <w:jc w:val="center"/>
        </w:trPr>
        <w:tc>
          <w:tcPr>
            <w:tcW w:w="1981" w:type="dxa"/>
            <w:tcBorders>
              <w:top w:val="single" w:sz="4" w:space="0" w:color="auto"/>
              <w:left w:val="single" w:sz="4" w:space="0" w:color="auto"/>
              <w:bottom w:val="single" w:sz="4" w:space="0" w:color="auto"/>
              <w:right w:val="single" w:sz="4" w:space="0" w:color="auto"/>
            </w:tcBorders>
            <w:hideMark/>
          </w:tcPr>
          <w:p w:rsidR="00510A3D" w:rsidRPr="00DD6E35" w:rsidRDefault="00510A3D" w:rsidP="003B599A">
            <w:pPr>
              <w:spacing w:line="256" w:lineRule="auto"/>
              <w:jc w:val="center"/>
              <w:rPr>
                <w:rFonts w:ascii="Arial" w:eastAsia="Calibri" w:hAnsi="Arial" w:cs="Arial"/>
                <w:sz w:val="16"/>
                <w:szCs w:val="16"/>
                <w:lang w:eastAsia="en-US"/>
              </w:rPr>
            </w:pPr>
            <w:r w:rsidRPr="00DD6E35">
              <w:rPr>
                <w:rFonts w:ascii="Arial" w:eastAsia="Calibri" w:hAnsi="Arial" w:cs="Arial"/>
                <w:sz w:val="16"/>
                <w:szCs w:val="16"/>
                <w:lang w:eastAsia="en-US"/>
              </w:rPr>
              <w:t>Tranche de dépenses</w:t>
            </w:r>
          </w:p>
        </w:tc>
        <w:tc>
          <w:tcPr>
            <w:tcW w:w="1643" w:type="dxa"/>
            <w:tcBorders>
              <w:top w:val="single" w:sz="4" w:space="0" w:color="auto"/>
              <w:left w:val="single" w:sz="4" w:space="0" w:color="auto"/>
              <w:bottom w:val="single" w:sz="4" w:space="0" w:color="auto"/>
              <w:right w:val="single" w:sz="4" w:space="0" w:color="auto"/>
            </w:tcBorders>
            <w:hideMark/>
          </w:tcPr>
          <w:p w:rsidR="00510A3D" w:rsidRPr="00DD6E35" w:rsidRDefault="00510A3D" w:rsidP="003B599A">
            <w:pPr>
              <w:spacing w:line="256" w:lineRule="auto"/>
              <w:jc w:val="center"/>
              <w:rPr>
                <w:rFonts w:ascii="Arial" w:eastAsia="Calibri" w:hAnsi="Arial" w:cs="Arial"/>
                <w:sz w:val="16"/>
                <w:szCs w:val="16"/>
                <w:lang w:eastAsia="en-US"/>
              </w:rPr>
            </w:pPr>
            <w:r w:rsidRPr="00DD6E35">
              <w:rPr>
                <w:rFonts w:ascii="Arial" w:eastAsia="Calibri" w:hAnsi="Arial" w:cs="Arial"/>
                <w:sz w:val="16"/>
                <w:szCs w:val="16"/>
                <w:lang w:eastAsia="en-US"/>
              </w:rPr>
              <w:t>Taux d’aide de la tranche</w:t>
            </w:r>
          </w:p>
        </w:tc>
        <w:tc>
          <w:tcPr>
            <w:tcW w:w="1812" w:type="dxa"/>
            <w:tcBorders>
              <w:top w:val="single" w:sz="4" w:space="0" w:color="auto"/>
              <w:left w:val="single" w:sz="4" w:space="0" w:color="auto"/>
              <w:bottom w:val="single" w:sz="4" w:space="0" w:color="auto"/>
              <w:right w:val="single" w:sz="4" w:space="0" w:color="auto"/>
            </w:tcBorders>
            <w:hideMark/>
          </w:tcPr>
          <w:p w:rsidR="00510A3D" w:rsidRPr="00DD6E35" w:rsidRDefault="00510A3D" w:rsidP="003B599A">
            <w:pPr>
              <w:spacing w:line="256" w:lineRule="auto"/>
              <w:jc w:val="center"/>
              <w:rPr>
                <w:rFonts w:ascii="Arial" w:eastAsia="Calibri" w:hAnsi="Arial" w:cs="Arial"/>
                <w:sz w:val="16"/>
                <w:szCs w:val="16"/>
                <w:lang w:eastAsia="en-US"/>
              </w:rPr>
            </w:pPr>
            <w:r w:rsidRPr="00DD6E35">
              <w:rPr>
                <w:rFonts w:ascii="Arial" w:eastAsia="Calibri" w:hAnsi="Arial" w:cs="Arial"/>
                <w:sz w:val="16"/>
                <w:szCs w:val="16"/>
                <w:lang w:eastAsia="en-US"/>
              </w:rPr>
              <w:t>Subvention maximum sur tranche</w:t>
            </w:r>
          </w:p>
        </w:tc>
        <w:tc>
          <w:tcPr>
            <w:tcW w:w="1813" w:type="dxa"/>
            <w:tcBorders>
              <w:top w:val="single" w:sz="4" w:space="0" w:color="auto"/>
              <w:left w:val="single" w:sz="4" w:space="0" w:color="auto"/>
              <w:bottom w:val="single" w:sz="4" w:space="0" w:color="auto"/>
              <w:right w:val="single" w:sz="4" w:space="0" w:color="auto"/>
            </w:tcBorders>
            <w:hideMark/>
          </w:tcPr>
          <w:p w:rsidR="00510A3D" w:rsidRPr="00DD6E35" w:rsidRDefault="00510A3D" w:rsidP="003B599A">
            <w:pPr>
              <w:spacing w:line="256" w:lineRule="auto"/>
              <w:jc w:val="center"/>
              <w:rPr>
                <w:rFonts w:ascii="Arial" w:eastAsia="Calibri" w:hAnsi="Arial" w:cs="Arial"/>
                <w:sz w:val="16"/>
                <w:szCs w:val="16"/>
                <w:lang w:eastAsia="en-US"/>
              </w:rPr>
            </w:pPr>
            <w:r w:rsidRPr="00DD6E35">
              <w:rPr>
                <w:rFonts w:ascii="Arial" w:eastAsia="Calibri" w:hAnsi="Arial" w:cs="Arial"/>
                <w:sz w:val="16"/>
                <w:szCs w:val="16"/>
                <w:lang w:eastAsia="en-US"/>
              </w:rPr>
              <w:t>Subvention globale maximum</w:t>
            </w:r>
          </w:p>
        </w:tc>
        <w:tc>
          <w:tcPr>
            <w:tcW w:w="1813" w:type="dxa"/>
            <w:tcBorders>
              <w:top w:val="single" w:sz="4" w:space="0" w:color="auto"/>
              <w:left w:val="single" w:sz="4" w:space="0" w:color="auto"/>
              <w:bottom w:val="single" w:sz="4" w:space="0" w:color="auto"/>
              <w:right w:val="single" w:sz="4" w:space="0" w:color="auto"/>
            </w:tcBorders>
            <w:hideMark/>
          </w:tcPr>
          <w:p w:rsidR="00510A3D" w:rsidRPr="00DD6E35" w:rsidRDefault="00510A3D" w:rsidP="003B599A">
            <w:pPr>
              <w:spacing w:line="256" w:lineRule="auto"/>
              <w:jc w:val="center"/>
              <w:rPr>
                <w:rFonts w:ascii="Arial" w:eastAsia="Calibri" w:hAnsi="Arial" w:cs="Arial"/>
                <w:sz w:val="16"/>
                <w:szCs w:val="16"/>
                <w:lang w:eastAsia="en-US"/>
              </w:rPr>
            </w:pPr>
            <w:r w:rsidRPr="00DD6E35">
              <w:rPr>
                <w:rFonts w:ascii="Arial" w:eastAsia="Calibri" w:hAnsi="Arial" w:cs="Arial"/>
                <w:sz w:val="16"/>
                <w:szCs w:val="16"/>
                <w:lang w:eastAsia="en-US"/>
              </w:rPr>
              <w:t xml:space="preserve">Taux de subvention global maximum </w:t>
            </w:r>
          </w:p>
        </w:tc>
      </w:tr>
      <w:tr w:rsidR="00510A3D" w:rsidRPr="00DD6E35" w:rsidTr="003B599A">
        <w:trPr>
          <w:jc w:val="center"/>
        </w:trPr>
        <w:tc>
          <w:tcPr>
            <w:tcW w:w="1981" w:type="dxa"/>
            <w:tcBorders>
              <w:top w:val="single" w:sz="4" w:space="0" w:color="auto"/>
              <w:left w:val="single" w:sz="4" w:space="0" w:color="auto"/>
              <w:bottom w:val="single" w:sz="4" w:space="0" w:color="auto"/>
              <w:right w:val="single" w:sz="4" w:space="0" w:color="auto"/>
            </w:tcBorders>
          </w:tcPr>
          <w:p w:rsidR="00510A3D" w:rsidRPr="00DD6E35" w:rsidRDefault="00510A3D" w:rsidP="003B599A">
            <w:pPr>
              <w:spacing w:line="256" w:lineRule="auto"/>
              <w:jc w:val="center"/>
              <w:rPr>
                <w:rFonts w:ascii="Arial" w:eastAsia="Calibri" w:hAnsi="Arial" w:cs="Arial"/>
                <w:sz w:val="16"/>
                <w:szCs w:val="16"/>
                <w:lang w:eastAsia="en-US"/>
              </w:rPr>
            </w:pPr>
          </w:p>
          <w:p w:rsidR="00510A3D" w:rsidRPr="00DD6E35" w:rsidRDefault="00510A3D" w:rsidP="003B599A">
            <w:pPr>
              <w:spacing w:line="256" w:lineRule="auto"/>
              <w:jc w:val="center"/>
              <w:rPr>
                <w:rFonts w:ascii="Arial" w:eastAsia="Calibri" w:hAnsi="Arial" w:cs="Arial"/>
                <w:sz w:val="16"/>
                <w:szCs w:val="16"/>
                <w:lang w:eastAsia="en-US"/>
              </w:rPr>
            </w:pPr>
            <w:r w:rsidRPr="00DD6E35">
              <w:rPr>
                <w:rFonts w:ascii="Arial" w:eastAsia="Calibri" w:hAnsi="Arial" w:cs="Arial"/>
                <w:sz w:val="16"/>
                <w:szCs w:val="16"/>
                <w:lang w:eastAsia="en-US"/>
              </w:rPr>
              <w:t>Jusqu’à 300 000 €</w:t>
            </w:r>
          </w:p>
          <w:p w:rsidR="00510A3D" w:rsidRPr="00DD6E35" w:rsidRDefault="00510A3D" w:rsidP="003B599A">
            <w:pPr>
              <w:spacing w:line="256" w:lineRule="auto"/>
              <w:jc w:val="center"/>
              <w:rPr>
                <w:rFonts w:ascii="Arial" w:eastAsia="Calibri" w:hAnsi="Arial" w:cs="Arial"/>
                <w:sz w:val="16"/>
                <w:szCs w:val="16"/>
                <w:lang w:eastAsia="en-US"/>
              </w:rPr>
            </w:pPr>
          </w:p>
        </w:tc>
        <w:tc>
          <w:tcPr>
            <w:tcW w:w="1643" w:type="dxa"/>
            <w:tcBorders>
              <w:top w:val="single" w:sz="4" w:space="0" w:color="auto"/>
              <w:left w:val="single" w:sz="4" w:space="0" w:color="auto"/>
              <w:bottom w:val="single" w:sz="4" w:space="0" w:color="auto"/>
              <w:right w:val="single" w:sz="4" w:space="0" w:color="auto"/>
            </w:tcBorders>
          </w:tcPr>
          <w:p w:rsidR="00510A3D" w:rsidRPr="00DD6E35" w:rsidRDefault="00510A3D" w:rsidP="003B599A">
            <w:pPr>
              <w:spacing w:line="256" w:lineRule="auto"/>
              <w:jc w:val="center"/>
              <w:rPr>
                <w:rFonts w:ascii="Arial" w:eastAsia="Calibri" w:hAnsi="Arial" w:cs="Arial"/>
                <w:sz w:val="16"/>
                <w:szCs w:val="16"/>
                <w:lang w:eastAsia="en-US"/>
              </w:rPr>
            </w:pPr>
          </w:p>
          <w:p w:rsidR="00510A3D" w:rsidRPr="00DD6E35" w:rsidRDefault="00510A3D" w:rsidP="003B599A">
            <w:pPr>
              <w:spacing w:line="256" w:lineRule="auto"/>
              <w:jc w:val="center"/>
              <w:rPr>
                <w:rFonts w:ascii="Arial" w:eastAsia="Calibri" w:hAnsi="Arial" w:cs="Arial"/>
                <w:sz w:val="16"/>
                <w:szCs w:val="16"/>
                <w:lang w:eastAsia="en-US"/>
              </w:rPr>
            </w:pPr>
            <w:r w:rsidRPr="00DD6E35">
              <w:rPr>
                <w:rFonts w:ascii="Arial" w:eastAsia="Calibri" w:hAnsi="Arial" w:cs="Arial"/>
                <w:sz w:val="16"/>
                <w:szCs w:val="16"/>
                <w:lang w:eastAsia="en-US"/>
              </w:rPr>
              <w:t>25 %</w:t>
            </w:r>
          </w:p>
        </w:tc>
        <w:tc>
          <w:tcPr>
            <w:tcW w:w="1812" w:type="dxa"/>
            <w:tcBorders>
              <w:top w:val="single" w:sz="4" w:space="0" w:color="auto"/>
              <w:left w:val="single" w:sz="4" w:space="0" w:color="auto"/>
              <w:bottom w:val="single" w:sz="4" w:space="0" w:color="auto"/>
              <w:right w:val="single" w:sz="4" w:space="0" w:color="auto"/>
            </w:tcBorders>
          </w:tcPr>
          <w:p w:rsidR="00510A3D" w:rsidRPr="00DD6E35" w:rsidRDefault="00510A3D" w:rsidP="003B599A">
            <w:pPr>
              <w:spacing w:line="256" w:lineRule="auto"/>
              <w:jc w:val="center"/>
              <w:rPr>
                <w:rFonts w:ascii="Arial" w:eastAsia="Calibri" w:hAnsi="Arial" w:cs="Arial"/>
                <w:sz w:val="16"/>
                <w:szCs w:val="16"/>
                <w:lang w:eastAsia="en-US"/>
              </w:rPr>
            </w:pPr>
          </w:p>
          <w:p w:rsidR="00510A3D" w:rsidRPr="00DD6E35" w:rsidRDefault="00510A3D" w:rsidP="003B599A">
            <w:pPr>
              <w:spacing w:line="256" w:lineRule="auto"/>
              <w:jc w:val="center"/>
              <w:rPr>
                <w:rFonts w:ascii="Arial" w:eastAsia="Calibri" w:hAnsi="Arial" w:cs="Arial"/>
                <w:sz w:val="16"/>
                <w:szCs w:val="16"/>
                <w:lang w:eastAsia="en-US"/>
              </w:rPr>
            </w:pPr>
            <w:r w:rsidRPr="00DD6E35">
              <w:rPr>
                <w:rFonts w:ascii="Arial" w:eastAsia="Calibri" w:hAnsi="Arial" w:cs="Arial"/>
                <w:sz w:val="16"/>
                <w:szCs w:val="16"/>
                <w:lang w:eastAsia="en-US"/>
              </w:rPr>
              <w:t>75 000 €</w:t>
            </w:r>
          </w:p>
        </w:tc>
        <w:tc>
          <w:tcPr>
            <w:tcW w:w="1813" w:type="dxa"/>
            <w:tcBorders>
              <w:top w:val="single" w:sz="4" w:space="0" w:color="auto"/>
              <w:left w:val="single" w:sz="4" w:space="0" w:color="auto"/>
              <w:bottom w:val="single" w:sz="4" w:space="0" w:color="auto"/>
              <w:right w:val="single" w:sz="4" w:space="0" w:color="auto"/>
            </w:tcBorders>
          </w:tcPr>
          <w:p w:rsidR="00510A3D" w:rsidRPr="00DD6E35" w:rsidRDefault="00510A3D" w:rsidP="003B599A">
            <w:pPr>
              <w:spacing w:line="256" w:lineRule="auto"/>
              <w:jc w:val="center"/>
              <w:rPr>
                <w:rFonts w:ascii="Arial" w:eastAsia="Calibri" w:hAnsi="Arial" w:cs="Arial"/>
                <w:sz w:val="16"/>
                <w:szCs w:val="16"/>
                <w:lang w:eastAsia="en-US"/>
              </w:rPr>
            </w:pPr>
          </w:p>
          <w:p w:rsidR="00510A3D" w:rsidRPr="00DD6E35" w:rsidRDefault="00510A3D" w:rsidP="003B599A">
            <w:pPr>
              <w:spacing w:line="256" w:lineRule="auto"/>
              <w:jc w:val="center"/>
              <w:rPr>
                <w:rFonts w:ascii="Arial" w:eastAsia="Calibri" w:hAnsi="Arial" w:cs="Arial"/>
                <w:sz w:val="16"/>
                <w:szCs w:val="16"/>
                <w:lang w:eastAsia="en-US"/>
              </w:rPr>
            </w:pPr>
            <w:r w:rsidRPr="00DD6E35">
              <w:rPr>
                <w:rFonts w:ascii="Arial" w:eastAsia="Calibri" w:hAnsi="Arial" w:cs="Arial"/>
                <w:sz w:val="16"/>
                <w:szCs w:val="16"/>
                <w:lang w:eastAsia="en-US"/>
              </w:rPr>
              <w:t>75 000 €</w:t>
            </w:r>
          </w:p>
        </w:tc>
        <w:tc>
          <w:tcPr>
            <w:tcW w:w="1813" w:type="dxa"/>
            <w:tcBorders>
              <w:top w:val="single" w:sz="4" w:space="0" w:color="auto"/>
              <w:left w:val="single" w:sz="4" w:space="0" w:color="auto"/>
              <w:bottom w:val="single" w:sz="4" w:space="0" w:color="auto"/>
              <w:right w:val="single" w:sz="4" w:space="0" w:color="auto"/>
            </w:tcBorders>
          </w:tcPr>
          <w:p w:rsidR="00510A3D" w:rsidRPr="00DD6E35" w:rsidRDefault="00510A3D" w:rsidP="003B599A">
            <w:pPr>
              <w:spacing w:line="256" w:lineRule="auto"/>
              <w:jc w:val="center"/>
              <w:rPr>
                <w:rFonts w:ascii="Arial" w:eastAsia="Calibri" w:hAnsi="Arial" w:cs="Arial"/>
                <w:sz w:val="16"/>
                <w:szCs w:val="16"/>
                <w:lang w:eastAsia="en-US"/>
              </w:rPr>
            </w:pPr>
          </w:p>
          <w:p w:rsidR="00510A3D" w:rsidRPr="00DD6E35" w:rsidRDefault="00510A3D" w:rsidP="003B599A">
            <w:pPr>
              <w:spacing w:line="256" w:lineRule="auto"/>
              <w:jc w:val="center"/>
              <w:rPr>
                <w:rFonts w:ascii="Arial" w:eastAsia="Calibri" w:hAnsi="Arial" w:cs="Arial"/>
                <w:sz w:val="16"/>
                <w:szCs w:val="16"/>
                <w:lang w:eastAsia="en-US"/>
              </w:rPr>
            </w:pPr>
            <w:r w:rsidRPr="00DD6E35">
              <w:rPr>
                <w:rFonts w:ascii="Arial" w:eastAsia="Calibri" w:hAnsi="Arial" w:cs="Arial"/>
                <w:sz w:val="16"/>
                <w:szCs w:val="16"/>
                <w:lang w:eastAsia="en-US"/>
              </w:rPr>
              <w:t>25 %</w:t>
            </w:r>
          </w:p>
        </w:tc>
      </w:tr>
      <w:tr w:rsidR="00510A3D" w:rsidRPr="00DD6E35" w:rsidTr="003B599A">
        <w:trPr>
          <w:jc w:val="center"/>
        </w:trPr>
        <w:tc>
          <w:tcPr>
            <w:tcW w:w="1981" w:type="dxa"/>
            <w:tcBorders>
              <w:top w:val="single" w:sz="4" w:space="0" w:color="auto"/>
              <w:left w:val="single" w:sz="4" w:space="0" w:color="auto"/>
              <w:bottom w:val="single" w:sz="4" w:space="0" w:color="auto"/>
              <w:right w:val="single" w:sz="4" w:space="0" w:color="auto"/>
            </w:tcBorders>
          </w:tcPr>
          <w:p w:rsidR="00510A3D" w:rsidRPr="00DD6E35" w:rsidRDefault="00510A3D" w:rsidP="003B599A">
            <w:pPr>
              <w:spacing w:line="256" w:lineRule="auto"/>
              <w:jc w:val="center"/>
              <w:rPr>
                <w:rFonts w:ascii="Arial" w:eastAsia="Calibri" w:hAnsi="Arial" w:cs="Arial"/>
                <w:sz w:val="16"/>
                <w:szCs w:val="16"/>
                <w:lang w:eastAsia="en-US"/>
              </w:rPr>
            </w:pPr>
          </w:p>
          <w:p w:rsidR="00510A3D" w:rsidRPr="00DD6E35" w:rsidRDefault="00510A3D" w:rsidP="003B599A">
            <w:pPr>
              <w:spacing w:line="256" w:lineRule="auto"/>
              <w:jc w:val="center"/>
              <w:rPr>
                <w:rFonts w:ascii="Arial" w:eastAsia="Calibri" w:hAnsi="Arial" w:cs="Arial"/>
                <w:sz w:val="16"/>
                <w:szCs w:val="16"/>
                <w:lang w:eastAsia="en-US"/>
              </w:rPr>
            </w:pPr>
            <w:r w:rsidRPr="00DD6E35">
              <w:rPr>
                <w:rFonts w:ascii="Arial" w:eastAsia="Calibri" w:hAnsi="Arial" w:cs="Arial"/>
                <w:sz w:val="16"/>
                <w:szCs w:val="16"/>
                <w:lang w:eastAsia="en-US"/>
              </w:rPr>
              <w:t>De 300 000 à 500 000 €</w:t>
            </w:r>
          </w:p>
          <w:p w:rsidR="00510A3D" w:rsidRPr="00DD6E35" w:rsidRDefault="00510A3D" w:rsidP="003B599A">
            <w:pPr>
              <w:spacing w:line="256" w:lineRule="auto"/>
              <w:jc w:val="center"/>
              <w:rPr>
                <w:rFonts w:ascii="Arial" w:eastAsia="Calibri" w:hAnsi="Arial" w:cs="Arial"/>
                <w:sz w:val="16"/>
                <w:szCs w:val="16"/>
                <w:lang w:eastAsia="en-US"/>
              </w:rPr>
            </w:pPr>
          </w:p>
        </w:tc>
        <w:tc>
          <w:tcPr>
            <w:tcW w:w="1643" w:type="dxa"/>
            <w:tcBorders>
              <w:top w:val="single" w:sz="4" w:space="0" w:color="auto"/>
              <w:left w:val="single" w:sz="4" w:space="0" w:color="auto"/>
              <w:bottom w:val="single" w:sz="4" w:space="0" w:color="auto"/>
              <w:right w:val="single" w:sz="4" w:space="0" w:color="auto"/>
            </w:tcBorders>
          </w:tcPr>
          <w:p w:rsidR="00510A3D" w:rsidRPr="00DD6E35" w:rsidRDefault="00510A3D" w:rsidP="003B599A">
            <w:pPr>
              <w:spacing w:line="256" w:lineRule="auto"/>
              <w:jc w:val="center"/>
              <w:rPr>
                <w:rFonts w:ascii="Arial" w:eastAsia="Calibri" w:hAnsi="Arial" w:cs="Arial"/>
                <w:sz w:val="16"/>
                <w:szCs w:val="16"/>
                <w:lang w:eastAsia="en-US"/>
              </w:rPr>
            </w:pPr>
          </w:p>
          <w:p w:rsidR="00510A3D" w:rsidRPr="00DD6E35" w:rsidRDefault="00510A3D" w:rsidP="003B599A">
            <w:pPr>
              <w:spacing w:line="256" w:lineRule="auto"/>
              <w:jc w:val="center"/>
              <w:rPr>
                <w:rFonts w:ascii="Arial" w:eastAsia="Calibri" w:hAnsi="Arial" w:cs="Arial"/>
                <w:sz w:val="16"/>
                <w:szCs w:val="16"/>
                <w:lang w:eastAsia="en-US"/>
              </w:rPr>
            </w:pPr>
            <w:r w:rsidRPr="00DD6E35">
              <w:rPr>
                <w:rFonts w:ascii="Arial" w:eastAsia="Calibri" w:hAnsi="Arial" w:cs="Arial"/>
                <w:sz w:val="16"/>
                <w:szCs w:val="16"/>
                <w:lang w:eastAsia="en-US"/>
              </w:rPr>
              <w:t>15 %</w:t>
            </w:r>
          </w:p>
        </w:tc>
        <w:tc>
          <w:tcPr>
            <w:tcW w:w="1812" w:type="dxa"/>
            <w:tcBorders>
              <w:top w:val="single" w:sz="4" w:space="0" w:color="auto"/>
              <w:left w:val="single" w:sz="4" w:space="0" w:color="auto"/>
              <w:bottom w:val="single" w:sz="4" w:space="0" w:color="auto"/>
              <w:right w:val="single" w:sz="4" w:space="0" w:color="auto"/>
            </w:tcBorders>
          </w:tcPr>
          <w:p w:rsidR="00510A3D" w:rsidRPr="00DD6E35" w:rsidRDefault="00510A3D" w:rsidP="003B599A">
            <w:pPr>
              <w:spacing w:line="256" w:lineRule="auto"/>
              <w:jc w:val="center"/>
              <w:rPr>
                <w:rFonts w:ascii="Arial" w:eastAsia="Calibri" w:hAnsi="Arial" w:cs="Arial"/>
                <w:sz w:val="16"/>
                <w:szCs w:val="16"/>
                <w:lang w:eastAsia="en-US"/>
              </w:rPr>
            </w:pPr>
          </w:p>
          <w:p w:rsidR="00510A3D" w:rsidRPr="00DD6E35" w:rsidRDefault="00510A3D" w:rsidP="003B599A">
            <w:pPr>
              <w:spacing w:line="256" w:lineRule="auto"/>
              <w:jc w:val="center"/>
              <w:rPr>
                <w:rFonts w:ascii="Arial" w:eastAsia="Calibri" w:hAnsi="Arial" w:cs="Arial"/>
                <w:sz w:val="16"/>
                <w:szCs w:val="16"/>
                <w:lang w:eastAsia="en-US"/>
              </w:rPr>
            </w:pPr>
            <w:r w:rsidRPr="00DD6E35">
              <w:rPr>
                <w:rFonts w:ascii="Arial" w:eastAsia="Calibri" w:hAnsi="Arial" w:cs="Arial"/>
                <w:sz w:val="16"/>
                <w:szCs w:val="16"/>
                <w:lang w:eastAsia="en-US"/>
              </w:rPr>
              <w:t>30 000 €</w:t>
            </w:r>
          </w:p>
        </w:tc>
        <w:tc>
          <w:tcPr>
            <w:tcW w:w="1813" w:type="dxa"/>
            <w:tcBorders>
              <w:top w:val="single" w:sz="4" w:space="0" w:color="auto"/>
              <w:left w:val="single" w:sz="4" w:space="0" w:color="auto"/>
              <w:bottom w:val="single" w:sz="4" w:space="0" w:color="auto"/>
              <w:right w:val="single" w:sz="4" w:space="0" w:color="auto"/>
            </w:tcBorders>
          </w:tcPr>
          <w:p w:rsidR="00510A3D" w:rsidRPr="00DD6E35" w:rsidRDefault="00510A3D" w:rsidP="003B599A">
            <w:pPr>
              <w:spacing w:line="256" w:lineRule="auto"/>
              <w:jc w:val="center"/>
              <w:rPr>
                <w:rFonts w:ascii="Arial" w:eastAsia="Calibri" w:hAnsi="Arial" w:cs="Arial"/>
                <w:sz w:val="16"/>
                <w:szCs w:val="16"/>
                <w:lang w:eastAsia="en-US"/>
              </w:rPr>
            </w:pPr>
          </w:p>
          <w:p w:rsidR="00510A3D" w:rsidRPr="00DD6E35" w:rsidRDefault="00510A3D" w:rsidP="003B599A">
            <w:pPr>
              <w:spacing w:line="256" w:lineRule="auto"/>
              <w:jc w:val="center"/>
              <w:rPr>
                <w:rFonts w:ascii="Arial" w:eastAsia="Calibri" w:hAnsi="Arial" w:cs="Arial"/>
                <w:sz w:val="16"/>
                <w:szCs w:val="16"/>
                <w:lang w:eastAsia="en-US"/>
              </w:rPr>
            </w:pPr>
            <w:r w:rsidRPr="00DD6E35">
              <w:rPr>
                <w:rFonts w:ascii="Arial" w:eastAsia="Calibri" w:hAnsi="Arial" w:cs="Arial"/>
                <w:sz w:val="16"/>
                <w:szCs w:val="16"/>
                <w:lang w:eastAsia="en-US"/>
              </w:rPr>
              <w:t>105 000 €</w:t>
            </w:r>
          </w:p>
        </w:tc>
        <w:tc>
          <w:tcPr>
            <w:tcW w:w="1813" w:type="dxa"/>
            <w:tcBorders>
              <w:top w:val="single" w:sz="4" w:space="0" w:color="auto"/>
              <w:left w:val="single" w:sz="4" w:space="0" w:color="auto"/>
              <w:bottom w:val="single" w:sz="4" w:space="0" w:color="auto"/>
              <w:right w:val="single" w:sz="4" w:space="0" w:color="auto"/>
            </w:tcBorders>
          </w:tcPr>
          <w:p w:rsidR="00510A3D" w:rsidRPr="00DD6E35" w:rsidRDefault="00510A3D" w:rsidP="003B599A">
            <w:pPr>
              <w:spacing w:line="256" w:lineRule="auto"/>
              <w:jc w:val="center"/>
              <w:rPr>
                <w:rFonts w:ascii="Arial" w:eastAsia="Calibri" w:hAnsi="Arial" w:cs="Arial"/>
                <w:sz w:val="16"/>
                <w:szCs w:val="16"/>
                <w:lang w:eastAsia="en-US"/>
              </w:rPr>
            </w:pPr>
          </w:p>
          <w:p w:rsidR="00510A3D" w:rsidRPr="00DD6E35" w:rsidRDefault="00510A3D" w:rsidP="003B599A">
            <w:pPr>
              <w:spacing w:line="256" w:lineRule="auto"/>
              <w:jc w:val="center"/>
              <w:rPr>
                <w:rFonts w:ascii="Arial" w:eastAsia="Calibri" w:hAnsi="Arial" w:cs="Arial"/>
                <w:sz w:val="16"/>
                <w:szCs w:val="16"/>
                <w:lang w:eastAsia="en-US"/>
              </w:rPr>
            </w:pPr>
            <w:r w:rsidRPr="00DD6E35">
              <w:rPr>
                <w:rFonts w:ascii="Arial" w:eastAsia="Calibri" w:hAnsi="Arial" w:cs="Arial"/>
                <w:sz w:val="16"/>
                <w:szCs w:val="16"/>
                <w:lang w:eastAsia="en-US"/>
              </w:rPr>
              <w:t>21 %</w:t>
            </w:r>
          </w:p>
        </w:tc>
      </w:tr>
      <w:tr w:rsidR="00510A3D" w:rsidRPr="00DD6E35" w:rsidTr="003B599A">
        <w:trPr>
          <w:jc w:val="center"/>
        </w:trPr>
        <w:tc>
          <w:tcPr>
            <w:tcW w:w="1981" w:type="dxa"/>
            <w:tcBorders>
              <w:top w:val="single" w:sz="4" w:space="0" w:color="auto"/>
              <w:left w:val="single" w:sz="4" w:space="0" w:color="auto"/>
              <w:bottom w:val="single" w:sz="4" w:space="0" w:color="auto"/>
              <w:right w:val="single" w:sz="4" w:space="0" w:color="auto"/>
            </w:tcBorders>
          </w:tcPr>
          <w:p w:rsidR="00510A3D" w:rsidRPr="00DD6E35" w:rsidRDefault="00510A3D" w:rsidP="003B599A">
            <w:pPr>
              <w:spacing w:line="256" w:lineRule="auto"/>
              <w:jc w:val="center"/>
              <w:rPr>
                <w:rFonts w:ascii="Arial" w:eastAsia="Calibri" w:hAnsi="Arial" w:cs="Arial"/>
                <w:sz w:val="16"/>
                <w:szCs w:val="16"/>
                <w:lang w:eastAsia="en-US"/>
              </w:rPr>
            </w:pPr>
          </w:p>
          <w:p w:rsidR="00510A3D" w:rsidRPr="00DD6E35" w:rsidRDefault="00510A3D" w:rsidP="003B599A">
            <w:pPr>
              <w:spacing w:line="256" w:lineRule="auto"/>
              <w:jc w:val="center"/>
              <w:rPr>
                <w:rFonts w:ascii="Arial" w:eastAsia="Calibri" w:hAnsi="Arial" w:cs="Arial"/>
                <w:sz w:val="16"/>
                <w:szCs w:val="16"/>
                <w:lang w:eastAsia="en-US"/>
              </w:rPr>
            </w:pPr>
            <w:r w:rsidRPr="00DD6E35">
              <w:rPr>
                <w:rFonts w:ascii="Arial" w:eastAsia="Calibri" w:hAnsi="Arial" w:cs="Arial"/>
                <w:sz w:val="16"/>
                <w:szCs w:val="16"/>
                <w:lang w:eastAsia="en-US"/>
              </w:rPr>
              <w:t>Au-delà de 500 000 €</w:t>
            </w:r>
          </w:p>
          <w:p w:rsidR="00510A3D" w:rsidRPr="00DD6E35" w:rsidRDefault="00510A3D" w:rsidP="003B599A">
            <w:pPr>
              <w:spacing w:line="256" w:lineRule="auto"/>
              <w:jc w:val="center"/>
              <w:rPr>
                <w:rFonts w:ascii="Arial" w:eastAsia="Calibri" w:hAnsi="Arial" w:cs="Arial"/>
                <w:sz w:val="16"/>
                <w:szCs w:val="16"/>
                <w:lang w:eastAsia="en-US"/>
              </w:rPr>
            </w:pPr>
          </w:p>
        </w:tc>
        <w:tc>
          <w:tcPr>
            <w:tcW w:w="1643" w:type="dxa"/>
            <w:tcBorders>
              <w:top w:val="single" w:sz="4" w:space="0" w:color="auto"/>
              <w:left w:val="single" w:sz="4" w:space="0" w:color="auto"/>
              <w:bottom w:val="single" w:sz="4" w:space="0" w:color="auto"/>
              <w:right w:val="single" w:sz="4" w:space="0" w:color="auto"/>
            </w:tcBorders>
          </w:tcPr>
          <w:p w:rsidR="00510A3D" w:rsidRPr="00DD6E35" w:rsidRDefault="00510A3D" w:rsidP="003B599A">
            <w:pPr>
              <w:spacing w:line="256" w:lineRule="auto"/>
              <w:jc w:val="center"/>
              <w:rPr>
                <w:rFonts w:ascii="Arial" w:eastAsia="Calibri" w:hAnsi="Arial" w:cs="Arial"/>
                <w:sz w:val="16"/>
                <w:szCs w:val="16"/>
                <w:lang w:eastAsia="en-US"/>
              </w:rPr>
            </w:pPr>
          </w:p>
          <w:p w:rsidR="00510A3D" w:rsidRPr="00DD6E35" w:rsidRDefault="00510A3D" w:rsidP="003B599A">
            <w:pPr>
              <w:spacing w:line="256" w:lineRule="auto"/>
              <w:jc w:val="center"/>
              <w:rPr>
                <w:rFonts w:ascii="Arial" w:eastAsia="Calibri" w:hAnsi="Arial" w:cs="Arial"/>
                <w:sz w:val="16"/>
                <w:szCs w:val="16"/>
                <w:lang w:eastAsia="en-US"/>
              </w:rPr>
            </w:pPr>
            <w:r w:rsidRPr="00DD6E35">
              <w:rPr>
                <w:rFonts w:ascii="Arial" w:eastAsia="Calibri" w:hAnsi="Arial" w:cs="Arial"/>
                <w:sz w:val="16"/>
                <w:szCs w:val="16"/>
                <w:lang w:eastAsia="en-US"/>
              </w:rPr>
              <w:t>8 %</w:t>
            </w:r>
          </w:p>
        </w:tc>
        <w:tc>
          <w:tcPr>
            <w:tcW w:w="1812" w:type="dxa"/>
            <w:tcBorders>
              <w:top w:val="single" w:sz="4" w:space="0" w:color="auto"/>
              <w:left w:val="single" w:sz="4" w:space="0" w:color="auto"/>
              <w:bottom w:val="single" w:sz="4" w:space="0" w:color="auto"/>
              <w:right w:val="single" w:sz="4" w:space="0" w:color="auto"/>
            </w:tcBorders>
          </w:tcPr>
          <w:p w:rsidR="00510A3D" w:rsidRPr="00DD6E35" w:rsidRDefault="00510A3D" w:rsidP="003B599A">
            <w:pPr>
              <w:spacing w:line="256" w:lineRule="auto"/>
              <w:jc w:val="center"/>
              <w:rPr>
                <w:rFonts w:ascii="Arial" w:eastAsia="Calibri" w:hAnsi="Arial" w:cs="Arial"/>
                <w:sz w:val="16"/>
                <w:szCs w:val="16"/>
                <w:lang w:eastAsia="en-US"/>
              </w:rPr>
            </w:pPr>
          </w:p>
          <w:p w:rsidR="00510A3D" w:rsidRPr="00DD6E35" w:rsidRDefault="00510A3D" w:rsidP="003B599A">
            <w:pPr>
              <w:spacing w:line="256" w:lineRule="auto"/>
              <w:jc w:val="center"/>
              <w:rPr>
                <w:rFonts w:ascii="Arial" w:eastAsia="Calibri" w:hAnsi="Arial" w:cs="Arial"/>
                <w:sz w:val="16"/>
                <w:szCs w:val="16"/>
                <w:lang w:eastAsia="en-US"/>
              </w:rPr>
            </w:pPr>
            <w:r w:rsidRPr="00DD6E35">
              <w:rPr>
                <w:rFonts w:ascii="Arial" w:eastAsia="Calibri" w:hAnsi="Arial" w:cs="Arial"/>
                <w:sz w:val="16"/>
                <w:szCs w:val="16"/>
                <w:lang w:eastAsia="en-US"/>
              </w:rPr>
              <w:t>Dans la limite de l’enveloppe</w:t>
            </w:r>
          </w:p>
        </w:tc>
        <w:tc>
          <w:tcPr>
            <w:tcW w:w="1813" w:type="dxa"/>
            <w:tcBorders>
              <w:top w:val="single" w:sz="4" w:space="0" w:color="auto"/>
              <w:left w:val="single" w:sz="4" w:space="0" w:color="auto"/>
              <w:bottom w:val="single" w:sz="4" w:space="0" w:color="auto"/>
              <w:right w:val="single" w:sz="4" w:space="0" w:color="auto"/>
            </w:tcBorders>
          </w:tcPr>
          <w:p w:rsidR="00510A3D" w:rsidRPr="00DD6E35" w:rsidRDefault="00510A3D" w:rsidP="003B599A">
            <w:pPr>
              <w:spacing w:line="256" w:lineRule="auto"/>
              <w:jc w:val="center"/>
              <w:rPr>
                <w:rFonts w:ascii="Arial" w:eastAsia="Calibri" w:hAnsi="Arial" w:cs="Arial"/>
                <w:sz w:val="16"/>
                <w:szCs w:val="16"/>
                <w:lang w:eastAsia="en-US"/>
              </w:rPr>
            </w:pPr>
          </w:p>
          <w:p w:rsidR="00510A3D" w:rsidRPr="00DD6E35" w:rsidRDefault="00510A3D" w:rsidP="003B599A">
            <w:pPr>
              <w:spacing w:line="256" w:lineRule="auto"/>
              <w:jc w:val="center"/>
              <w:rPr>
                <w:rFonts w:ascii="Arial" w:eastAsia="Calibri" w:hAnsi="Arial" w:cs="Arial"/>
                <w:sz w:val="16"/>
                <w:szCs w:val="16"/>
                <w:lang w:eastAsia="en-US"/>
              </w:rPr>
            </w:pPr>
            <w:r w:rsidRPr="00DD6E35">
              <w:rPr>
                <w:rFonts w:ascii="Arial" w:eastAsia="Calibri" w:hAnsi="Arial" w:cs="Arial"/>
                <w:sz w:val="16"/>
                <w:szCs w:val="16"/>
                <w:lang w:eastAsia="en-US"/>
              </w:rPr>
              <w:t>Dans la limite de l’enveloppe</w:t>
            </w:r>
          </w:p>
        </w:tc>
        <w:tc>
          <w:tcPr>
            <w:tcW w:w="1813" w:type="dxa"/>
            <w:tcBorders>
              <w:top w:val="single" w:sz="4" w:space="0" w:color="auto"/>
              <w:left w:val="single" w:sz="4" w:space="0" w:color="auto"/>
              <w:bottom w:val="single" w:sz="4" w:space="0" w:color="auto"/>
              <w:right w:val="single" w:sz="4" w:space="0" w:color="auto"/>
            </w:tcBorders>
          </w:tcPr>
          <w:p w:rsidR="00510A3D" w:rsidRPr="00DD6E35" w:rsidRDefault="00510A3D" w:rsidP="003B599A">
            <w:pPr>
              <w:spacing w:line="256" w:lineRule="auto"/>
              <w:jc w:val="center"/>
              <w:rPr>
                <w:rFonts w:ascii="Arial" w:eastAsia="Calibri" w:hAnsi="Arial" w:cs="Arial"/>
                <w:sz w:val="16"/>
                <w:szCs w:val="16"/>
                <w:lang w:eastAsia="en-US"/>
              </w:rPr>
            </w:pPr>
          </w:p>
        </w:tc>
      </w:tr>
    </w:tbl>
    <w:p w:rsidR="00510A3D" w:rsidRPr="00DD6E35" w:rsidRDefault="00510A3D" w:rsidP="00510A3D">
      <w:pPr>
        <w:spacing w:line="254" w:lineRule="auto"/>
        <w:rPr>
          <w:rFonts w:ascii="Arial" w:eastAsia="Calibri" w:hAnsi="Arial" w:cs="Arial"/>
          <w:sz w:val="22"/>
          <w:szCs w:val="22"/>
          <w:lang w:eastAsia="en-US"/>
        </w:rPr>
      </w:pPr>
    </w:p>
    <w:p w:rsidR="00510A3D" w:rsidRPr="00DD6E35" w:rsidRDefault="00510A3D" w:rsidP="00510A3D">
      <w:pPr>
        <w:spacing w:line="254" w:lineRule="auto"/>
        <w:rPr>
          <w:rFonts w:ascii="Arial" w:eastAsia="Calibri" w:hAnsi="Arial" w:cs="Arial"/>
          <w:sz w:val="22"/>
          <w:szCs w:val="22"/>
          <w:lang w:eastAsia="en-US"/>
        </w:rPr>
      </w:pPr>
      <w:r w:rsidRPr="00DD6E35">
        <w:rPr>
          <w:rFonts w:ascii="Arial" w:eastAsia="Calibri" w:hAnsi="Arial" w:cs="Arial"/>
          <w:sz w:val="22"/>
          <w:szCs w:val="22"/>
          <w:lang w:eastAsia="en-US"/>
        </w:rPr>
        <w:t>Le total des subventions publiques ne doit pas excéder 80 % de la dépense subventionnable hors taxe.</w:t>
      </w:r>
    </w:p>
    <w:p w:rsidR="00510A3D" w:rsidRPr="00DD6E35" w:rsidRDefault="00510A3D" w:rsidP="00510A3D">
      <w:pPr>
        <w:spacing w:line="254" w:lineRule="auto"/>
        <w:rPr>
          <w:rFonts w:ascii="Arial" w:eastAsia="Calibri" w:hAnsi="Arial" w:cs="Arial"/>
          <w:sz w:val="22"/>
          <w:szCs w:val="22"/>
          <w:lang w:eastAsia="en-US"/>
        </w:rPr>
      </w:pPr>
    </w:p>
    <w:p w:rsidR="00510A3D" w:rsidRPr="00DD6E35" w:rsidRDefault="00510A3D" w:rsidP="00510A3D">
      <w:pPr>
        <w:jc w:val="both"/>
        <w:rPr>
          <w:rFonts w:ascii="Arial" w:hAnsi="Arial" w:cs="Arial"/>
          <w:sz w:val="22"/>
          <w:szCs w:val="22"/>
        </w:rPr>
      </w:pPr>
      <w:r w:rsidRPr="00DD6E35">
        <w:rPr>
          <w:rFonts w:ascii="Arial" w:hAnsi="Arial" w:cs="Arial"/>
          <w:sz w:val="22"/>
          <w:szCs w:val="22"/>
        </w:rPr>
        <w:t>Pour rappel, concernant le règlement MH relatif aux immeubles protégés au titre de la législation sur les Monuments Historiques (classés ou inscrits), orgues compris, à l’exclusion de tous biens meubles ou immeubles par destination, bien que financé sur l’enveloppe de crédit CDE, l’aide départementale allouée à ces projets, est une subvention en capital, obligatoirement complémentaire de celle de la DRAC, dont les modalités sont les suivantes :</w:t>
      </w:r>
    </w:p>
    <w:p w:rsidR="00510A3D" w:rsidRPr="00DD6E35" w:rsidRDefault="00510A3D" w:rsidP="00510A3D">
      <w:pPr>
        <w:numPr>
          <w:ilvl w:val="0"/>
          <w:numId w:val="3"/>
        </w:numPr>
        <w:jc w:val="both"/>
        <w:rPr>
          <w:rFonts w:ascii="Arial" w:hAnsi="Arial" w:cs="Arial"/>
          <w:b/>
          <w:sz w:val="22"/>
          <w:szCs w:val="22"/>
        </w:rPr>
      </w:pPr>
      <w:r w:rsidRPr="00DD6E35">
        <w:rPr>
          <w:rFonts w:ascii="Arial" w:hAnsi="Arial" w:cs="Arial"/>
          <w:b/>
          <w:sz w:val="22"/>
          <w:szCs w:val="22"/>
        </w:rPr>
        <w:t xml:space="preserve">Pour les monuments inscrits : </w:t>
      </w:r>
    </w:p>
    <w:p w:rsidR="00510A3D" w:rsidRPr="00DD6E35" w:rsidRDefault="00510A3D" w:rsidP="00510A3D">
      <w:pPr>
        <w:jc w:val="both"/>
        <w:rPr>
          <w:rFonts w:ascii="Arial" w:hAnsi="Arial" w:cs="Arial"/>
          <w:sz w:val="22"/>
          <w:szCs w:val="22"/>
        </w:rPr>
      </w:pPr>
      <w:proofErr w:type="gramStart"/>
      <w:r w:rsidRPr="00DD6E35">
        <w:rPr>
          <w:rFonts w:ascii="Arial" w:hAnsi="Arial" w:cs="Arial"/>
          <w:sz w:val="22"/>
          <w:szCs w:val="22"/>
        </w:rPr>
        <w:t>le</w:t>
      </w:r>
      <w:proofErr w:type="gramEnd"/>
      <w:r w:rsidRPr="00DD6E35">
        <w:rPr>
          <w:rFonts w:ascii="Arial" w:hAnsi="Arial" w:cs="Arial"/>
          <w:sz w:val="22"/>
          <w:szCs w:val="22"/>
        </w:rPr>
        <w:t xml:space="preserve"> taux d’aide du Département est de 15 % maximum de la dépense subventionnable hors taxe retenue par la DRAC sur son arrêté attributif de subvention.</w:t>
      </w:r>
    </w:p>
    <w:p w:rsidR="00510A3D" w:rsidRPr="00DD6E35" w:rsidRDefault="00510A3D" w:rsidP="00510A3D">
      <w:pPr>
        <w:numPr>
          <w:ilvl w:val="0"/>
          <w:numId w:val="3"/>
        </w:numPr>
        <w:jc w:val="both"/>
        <w:rPr>
          <w:rFonts w:ascii="Arial" w:hAnsi="Arial" w:cs="Arial"/>
          <w:b/>
          <w:sz w:val="22"/>
          <w:szCs w:val="22"/>
        </w:rPr>
      </w:pPr>
      <w:r w:rsidRPr="00DD6E35">
        <w:rPr>
          <w:rFonts w:ascii="Arial" w:hAnsi="Arial" w:cs="Arial"/>
          <w:b/>
          <w:sz w:val="22"/>
          <w:szCs w:val="22"/>
        </w:rPr>
        <w:t xml:space="preserve">Pour les monuments classés : </w:t>
      </w:r>
    </w:p>
    <w:p w:rsidR="00510A3D" w:rsidRPr="00DD6E35" w:rsidRDefault="00510A3D" w:rsidP="00510A3D">
      <w:pPr>
        <w:jc w:val="both"/>
        <w:rPr>
          <w:rFonts w:ascii="Arial" w:hAnsi="Arial" w:cs="Arial"/>
          <w:sz w:val="22"/>
          <w:szCs w:val="22"/>
        </w:rPr>
      </w:pPr>
      <w:proofErr w:type="gramStart"/>
      <w:r w:rsidRPr="00DD6E35">
        <w:rPr>
          <w:rFonts w:ascii="Arial" w:hAnsi="Arial" w:cs="Arial"/>
          <w:sz w:val="22"/>
          <w:szCs w:val="22"/>
        </w:rPr>
        <w:t>le</w:t>
      </w:r>
      <w:proofErr w:type="gramEnd"/>
      <w:r w:rsidRPr="00DD6E35">
        <w:rPr>
          <w:rFonts w:ascii="Arial" w:hAnsi="Arial" w:cs="Arial"/>
          <w:sz w:val="22"/>
          <w:szCs w:val="22"/>
        </w:rPr>
        <w:t xml:space="preserve"> taux d’aide du Département est de 20 % maximum du montant de l’aide de la DRAC indiqué sur son arrêté attributif de subvention.</w:t>
      </w:r>
    </w:p>
    <w:p w:rsidR="00510A3D" w:rsidRPr="00DD6E35" w:rsidRDefault="00510A3D" w:rsidP="00510A3D">
      <w:pPr>
        <w:jc w:val="both"/>
        <w:rPr>
          <w:rFonts w:ascii="Arial" w:hAnsi="Arial" w:cs="Arial"/>
          <w:sz w:val="22"/>
          <w:szCs w:val="22"/>
        </w:rPr>
      </w:pPr>
      <w:r w:rsidRPr="00DD6E35">
        <w:rPr>
          <w:rFonts w:ascii="Arial" w:hAnsi="Arial" w:cs="Arial"/>
          <w:sz w:val="22"/>
          <w:szCs w:val="22"/>
        </w:rPr>
        <w:lastRenderedPageBreak/>
        <w:t>A l’exception de ces modalités de calcul du taux d’aide, les autres dispositions du règlement CDE s’appliquent.</w:t>
      </w:r>
    </w:p>
    <w:p w:rsidR="00510A3D" w:rsidRPr="00DD6E35" w:rsidRDefault="00510A3D" w:rsidP="00510A3D">
      <w:pPr>
        <w:spacing w:line="254" w:lineRule="auto"/>
        <w:rPr>
          <w:rFonts w:ascii="Arial" w:eastAsia="Calibri" w:hAnsi="Arial" w:cs="Arial"/>
          <w:sz w:val="22"/>
          <w:szCs w:val="22"/>
          <w:lang w:eastAsia="en-US"/>
        </w:rPr>
      </w:pPr>
    </w:p>
    <w:p w:rsidR="00510A3D" w:rsidRPr="00DD6E35" w:rsidRDefault="00510A3D" w:rsidP="00510A3D">
      <w:pPr>
        <w:spacing w:line="254" w:lineRule="auto"/>
        <w:rPr>
          <w:rFonts w:ascii="Arial" w:eastAsia="Calibri" w:hAnsi="Arial" w:cs="Arial"/>
          <w:sz w:val="22"/>
          <w:szCs w:val="22"/>
          <w:lang w:eastAsia="en-US"/>
        </w:rPr>
      </w:pPr>
      <w:r w:rsidRPr="00DD6E35">
        <w:rPr>
          <w:rFonts w:ascii="Arial" w:eastAsia="Calibri" w:hAnsi="Arial" w:cs="Arial"/>
          <w:sz w:val="22"/>
          <w:szCs w:val="22"/>
          <w:lang w:eastAsia="en-US"/>
        </w:rPr>
        <w:t>Le total des subventions publiques ne doit pas excéder 80 % de la dépense subventionnable hors taxe.</w:t>
      </w:r>
    </w:p>
    <w:p w:rsidR="00510A3D" w:rsidRPr="00DD6E35" w:rsidRDefault="00510A3D" w:rsidP="00510A3D">
      <w:pPr>
        <w:spacing w:line="254" w:lineRule="auto"/>
        <w:rPr>
          <w:rFonts w:ascii="Arial" w:eastAsia="Calibri" w:hAnsi="Arial" w:cs="Arial"/>
          <w:sz w:val="22"/>
          <w:szCs w:val="22"/>
          <w:lang w:eastAsia="en-US"/>
        </w:rPr>
      </w:pPr>
    </w:p>
    <w:p w:rsidR="00510A3D" w:rsidRPr="00DD6E35" w:rsidRDefault="00510A3D" w:rsidP="00510A3D">
      <w:pPr>
        <w:spacing w:line="254" w:lineRule="auto"/>
        <w:rPr>
          <w:rFonts w:ascii="Arial" w:eastAsia="Calibri" w:hAnsi="Arial" w:cs="Arial"/>
          <w:b/>
          <w:sz w:val="22"/>
          <w:szCs w:val="22"/>
          <w:u w:val="single"/>
          <w:lang w:eastAsia="en-US"/>
        </w:rPr>
      </w:pPr>
      <w:r w:rsidRPr="00DD6E35">
        <w:rPr>
          <w:rFonts w:ascii="Arial" w:eastAsia="Calibri" w:hAnsi="Arial" w:cs="Arial"/>
          <w:b/>
          <w:sz w:val="22"/>
          <w:szCs w:val="22"/>
          <w:u w:val="single"/>
          <w:lang w:eastAsia="en-US"/>
        </w:rPr>
        <w:t>Article 4 – Modalités d’attribution du Crédit Départemental d’Equipement, prise d’effet :</w:t>
      </w:r>
    </w:p>
    <w:p w:rsidR="00510A3D" w:rsidRPr="00DD6E35" w:rsidRDefault="00510A3D" w:rsidP="00510A3D">
      <w:pPr>
        <w:spacing w:line="254" w:lineRule="auto"/>
        <w:rPr>
          <w:rFonts w:ascii="Arial" w:eastAsia="Calibri" w:hAnsi="Arial" w:cs="Arial"/>
          <w:b/>
          <w:sz w:val="22"/>
          <w:szCs w:val="22"/>
          <w:u w:val="single"/>
          <w:lang w:eastAsia="en-US"/>
        </w:rPr>
      </w:pPr>
    </w:p>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t xml:space="preserve">L’aide est attribuée après vérification de sa conformité au règlement général des subventions départementales, par décision de la Commission Permanente, sur proposition </w:t>
      </w:r>
      <w:r>
        <w:rPr>
          <w:rFonts w:ascii="Arial" w:eastAsia="Calibri" w:hAnsi="Arial" w:cs="Arial"/>
          <w:sz w:val="22"/>
          <w:szCs w:val="22"/>
          <w:lang w:eastAsia="en-US"/>
        </w:rPr>
        <w:t>de la</w:t>
      </w:r>
      <w:r w:rsidRPr="00DD6E35">
        <w:rPr>
          <w:rFonts w:ascii="Arial" w:eastAsia="Calibri" w:hAnsi="Arial" w:cs="Arial"/>
          <w:sz w:val="22"/>
          <w:szCs w:val="22"/>
          <w:lang w:eastAsia="en-US"/>
        </w:rPr>
        <w:t xml:space="preserve"> Président</w:t>
      </w:r>
      <w:r>
        <w:rPr>
          <w:rFonts w:ascii="Arial" w:eastAsia="Calibri" w:hAnsi="Arial" w:cs="Arial"/>
          <w:sz w:val="22"/>
          <w:szCs w:val="22"/>
          <w:lang w:eastAsia="en-US"/>
        </w:rPr>
        <w:t>e</w:t>
      </w:r>
      <w:r w:rsidRPr="00DD6E35">
        <w:rPr>
          <w:rFonts w:ascii="Arial" w:eastAsia="Calibri" w:hAnsi="Arial" w:cs="Arial"/>
          <w:sz w:val="22"/>
          <w:szCs w:val="22"/>
          <w:lang w:eastAsia="en-US"/>
        </w:rPr>
        <w:t xml:space="preserve"> du Conseil départemental.</w:t>
      </w:r>
    </w:p>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t xml:space="preserve">L’attribution se fait sur la base d’une demande de subvention, établie de manière dématérialisée à partir du dossier complet, portant sur des projets techniquement prêts, sur le site internet </w:t>
      </w:r>
      <w:hyperlink r:id="rId5" w:history="1">
        <w:r w:rsidRPr="00DD6E35">
          <w:rPr>
            <w:rFonts w:ascii="Arial" w:eastAsia="Calibri" w:hAnsi="Arial" w:cs="Arial"/>
            <w:sz w:val="22"/>
            <w:szCs w:val="22"/>
            <w:u w:val="single"/>
            <w:lang w:eastAsia="en-US"/>
          </w:rPr>
          <w:t>www.gard.fr/demander-une-subvention-</w:t>
        </w:r>
      </w:hyperlink>
      <w:r w:rsidRPr="00DD6E35">
        <w:rPr>
          <w:rFonts w:ascii="Arial" w:eastAsia="Calibri" w:hAnsi="Arial" w:cs="Arial"/>
          <w:sz w:val="22"/>
          <w:szCs w:val="22"/>
          <w:lang w:eastAsia="en-US"/>
        </w:rPr>
        <w:t xml:space="preserve"> ou bien via le site web </w:t>
      </w:r>
      <w:hyperlink r:id="rId6" w:history="1">
        <w:r w:rsidRPr="00DD6E35">
          <w:rPr>
            <w:rFonts w:ascii="Arial" w:eastAsia="Calibri" w:hAnsi="Arial" w:cs="Arial"/>
            <w:sz w:val="22"/>
            <w:szCs w:val="22"/>
            <w:u w:val="single"/>
            <w:lang w:eastAsia="en-US"/>
          </w:rPr>
          <w:t>www.demarches-simplifiees.fr</w:t>
        </w:r>
      </w:hyperlink>
      <w:r w:rsidRPr="00DD6E35">
        <w:rPr>
          <w:rFonts w:ascii="Arial" w:eastAsia="Calibri" w:hAnsi="Arial" w:cs="Arial"/>
          <w:sz w:val="22"/>
          <w:szCs w:val="22"/>
          <w:lang w:eastAsia="en-US"/>
        </w:rPr>
        <w:t xml:space="preserve"> à partir d’un dossier commun Etat-Département. </w:t>
      </w:r>
    </w:p>
    <w:p w:rsidR="00510A3D" w:rsidRPr="00DD6E35" w:rsidRDefault="00510A3D" w:rsidP="00510A3D">
      <w:pPr>
        <w:spacing w:line="254" w:lineRule="auto"/>
        <w:jc w:val="both"/>
        <w:rPr>
          <w:rFonts w:ascii="Arial" w:eastAsia="Calibri" w:hAnsi="Arial" w:cs="Arial"/>
          <w:sz w:val="22"/>
          <w:szCs w:val="22"/>
          <w:lang w:eastAsia="en-US"/>
        </w:rPr>
      </w:pPr>
    </w:p>
    <w:p w:rsidR="00510A3D" w:rsidRPr="00DD6E35" w:rsidRDefault="00510A3D" w:rsidP="00510A3D">
      <w:pPr>
        <w:spacing w:line="254" w:lineRule="auto"/>
        <w:jc w:val="both"/>
        <w:rPr>
          <w:rFonts w:ascii="Arial" w:eastAsia="Calibri" w:hAnsi="Arial" w:cs="Arial"/>
          <w:sz w:val="22"/>
          <w:szCs w:val="22"/>
          <w:lang w:eastAsia="en-US"/>
        </w:rPr>
      </w:pPr>
      <w:r>
        <w:rPr>
          <w:rFonts w:ascii="Arial" w:eastAsia="Calibri" w:hAnsi="Arial" w:cs="Arial"/>
          <w:sz w:val="22"/>
          <w:szCs w:val="22"/>
          <w:lang w:eastAsia="en-US"/>
        </w:rPr>
        <w:t>Le dossier doit être c</w:t>
      </w:r>
      <w:r w:rsidRPr="00DD6E35">
        <w:rPr>
          <w:rFonts w:ascii="Arial" w:eastAsia="Calibri" w:hAnsi="Arial" w:cs="Arial"/>
          <w:sz w:val="22"/>
          <w:szCs w:val="22"/>
          <w:lang w:eastAsia="en-US"/>
        </w:rPr>
        <w:t xml:space="preserve">onstitué </w:t>
      </w:r>
      <w:r>
        <w:rPr>
          <w:rFonts w:ascii="Arial" w:eastAsia="Calibri" w:hAnsi="Arial" w:cs="Arial"/>
          <w:sz w:val="22"/>
          <w:szCs w:val="22"/>
          <w:lang w:eastAsia="en-US"/>
        </w:rPr>
        <w:t>d’une</w:t>
      </w:r>
      <w:r w:rsidRPr="00DD6E35">
        <w:rPr>
          <w:rFonts w:ascii="Arial" w:eastAsia="Calibri" w:hAnsi="Arial" w:cs="Arial"/>
          <w:sz w:val="22"/>
          <w:szCs w:val="22"/>
          <w:lang w:eastAsia="en-US"/>
        </w:rPr>
        <w:t xml:space="preserve"> délibération de l’organe compétent de la collectivité territoriale ou de l’organisme public approuvant le projet d’investissement et </w:t>
      </w:r>
      <w:r>
        <w:rPr>
          <w:rFonts w:ascii="Arial" w:eastAsia="Calibri" w:hAnsi="Arial" w:cs="Arial"/>
          <w:sz w:val="22"/>
          <w:szCs w:val="22"/>
          <w:lang w:eastAsia="en-US"/>
        </w:rPr>
        <w:t>son</w:t>
      </w:r>
      <w:r w:rsidRPr="00DD6E35">
        <w:rPr>
          <w:rFonts w:ascii="Arial" w:eastAsia="Calibri" w:hAnsi="Arial" w:cs="Arial"/>
          <w:sz w:val="22"/>
          <w:szCs w:val="22"/>
          <w:lang w:eastAsia="en-US"/>
        </w:rPr>
        <w:t xml:space="preserve"> plan de financement prévisionnel précisant l’origine et le montant des moyens financiers et sollicitant l’aide du Département</w:t>
      </w:r>
      <w:r>
        <w:rPr>
          <w:rFonts w:ascii="Arial" w:eastAsia="Calibri" w:hAnsi="Arial" w:cs="Arial"/>
          <w:sz w:val="22"/>
          <w:szCs w:val="22"/>
          <w:lang w:eastAsia="en-US"/>
        </w:rPr>
        <w:t>.</w:t>
      </w:r>
      <w:r w:rsidRPr="00DD6E35">
        <w:rPr>
          <w:rFonts w:ascii="Arial" w:eastAsia="Calibri" w:hAnsi="Arial" w:cs="Arial"/>
          <w:sz w:val="22"/>
          <w:szCs w:val="22"/>
          <w:lang w:eastAsia="en-US"/>
        </w:rPr>
        <w:t xml:space="preserve"> </w:t>
      </w:r>
      <w:r>
        <w:rPr>
          <w:rFonts w:ascii="Arial" w:eastAsia="Calibri" w:hAnsi="Arial" w:cs="Arial"/>
          <w:sz w:val="22"/>
          <w:szCs w:val="22"/>
          <w:lang w:eastAsia="en-US"/>
        </w:rPr>
        <w:t>I</w:t>
      </w:r>
      <w:r w:rsidRPr="00DD6E35">
        <w:rPr>
          <w:rFonts w:ascii="Arial" w:eastAsia="Calibri" w:hAnsi="Arial" w:cs="Arial"/>
          <w:sz w:val="22"/>
          <w:szCs w:val="22"/>
          <w:lang w:eastAsia="en-US"/>
        </w:rPr>
        <w:t>l intègrera également l’obtention de toutes les autorisations administratives et l’assurance des autres moyens de financement.</w:t>
      </w:r>
    </w:p>
    <w:p w:rsidR="00510A3D" w:rsidRPr="00DD6E35" w:rsidRDefault="00510A3D" w:rsidP="00510A3D">
      <w:pPr>
        <w:spacing w:line="254" w:lineRule="auto"/>
        <w:jc w:val="both"/>
        <w:rPr>
          <w:rFonts w:ascii="Arial" w:eastAsia="Calibri" w:hAnsi="Arial" w:cs="Arial"/>
          <w:sz w:val="22"/>
          <w:szCs w:val="22"/>
          <w:lang w:eastAsia="en-US"/>
        </w:rPr>
      </w:pPr>
    </w:p>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t>Les dates limite de transmission de ce dossier sont fixées au :</w:t>
      </w:r>
    </w:p>
    <w:p w:rsidR="00510A3D" w:rsidRPr="00DD6E35" w:rsidRDefault="00510A3D" w:rsidP="00510A3D">
      <w:pPr>
        <w:spacing w:line="254" w:lineRule="auto"/>
        <w:jc w:val="both"/>
        <w:rPr>
          <w:rFonts w:ascii="Arial" w:eastAsia="Calibri" w:hAnsi="Arial" w:cs="Arial"/>
          <w:sz w:val="22"/>
          <w:szCs w:val="22"/>
          <w:lang w:eastAsia="en-US"/>
        </w:rPr>
      </w:pPr>
    </w:p>
    <w:p w:rsidR="00510A3D" w:rsidRPr="00DD6E35" w:rsidRDefault="00510A3D" w:rsidP="00510A3D">
      <w:pPr>
        <w:numPr>
          <w:ilvl w:val="0"/>
          <w:numId w:val="1"/>
        </w:numPr>
        <w:spacing w:after="160" w:line="254" w:lineRule="auto"/>
        <w:contextualSpacing/>
        <w:jc w:val="both"/>
        <w:rPr>
          <w:rFonts w:ascii="Arial" w:eastAsia="Calibri" w:hAnsi="Arial" w:cs="Arial"/>
          <w:b/>
          <w:sz w:val="22"/>
          <w:szCs w:val="22"/>
          <w:lang w:eastAsia="en-US"/>
        </w:rPr>
      </w:pPr>
      <w:r w:rsidRPr="00DD6E35">
        <w:rPr>
          <w:rFonts w:ascii="Arial" w:eastAsia="Calibri" w:hAnsi="Arial" w:cs="Arial"/>
          <w:b/>
          <w:sz w:val="22"/>
          <w:szCs w:val="22"/>
          <w:lang w:eastAsia="en-US"/>
        </w:rPr>
        <w:t>31 octobre de l’année N-1</w:t>
      </w:r>
      <w:r w:rsidRPr="00DD6E35">
        <w:rPr>
          <w:rFonts w:ascii="Arial" w:eastAsia="Calibri" w:hAnsi="Arial" w:cs="Arial"/>
          <w:sz w:val="22"/>
          <w:szCs w:val="22"/>
          <w:lang w:eastAsia="en-US"/>
        </w:rPr>
        <w:t xml:space="preserve"> pour une programmation au premier semestre de l’année en cours.</w:t>
      </w:r>
    </w:p>
    <w:p w:rsidR="00510A3D" w:rsidRPr="00DD6E35" w:rsidRDefault="00510A3D" w:rsidP="00510A3D">
      <w:pPr>
        <w:spacing w:line="254" w:lineRule="auto"/>
        <w:ind w:left="720"/>
        <w:contextualSpacing/>
        <w:jc w:val="both"/>
        <w:rPr>
          <w:rFonts w:ascii="Arial" w:eastAsia="Calibri" w:hAnsi="Arial" w:cs="Arial"/>
          <w:b/>
          <w:color w:val="4472C4"/>
          <w:sz w:val="22"/>
          <w:szCs w:val="22"/>
          <w:lang w:eastAsia="en-US"/>
        </w:rPr>
      </w:pPr>
    </w:p>
    <w:p w:rsidR="00510A3D" w:rsidRPr="00DD6E35" w:rsidRDefault="00510A3D" w:rsidP="00510A3D">
      <w:pPr>
        <w:numPr>
          <w:ilvl w:val="0"/>
          <w:numId w:val="1"/>
        </w:numPr>
        <w:spacing w:after="160" w:line="254" w:lineRule="auto"/>
        <w:contextualSpacing/>
        <w:jc w:val="both"/>
        <w:rPr>
          <w:rFonts w:ascii="Arial" w:eastAsia="Calibri" w:hAnsi="Arial" w:cs="Arial"/>
          <w:b/>
          <w:sz w:val="22"/>
          <w:szCs w:val="22"/>
          <w:lang w:eastAsia="en-US"/>
        </w:rPr>
      </w:pPr>
      <w:r w:rsidRPr="00DD6E35">
        <w:rPr>
          <w:rFonts w:ascii="Arial" w:eastAsia="Calibri" w:hAnsi="Arial" w:cs="Arial"/>
          <w:b/>
          <w:sz w:val="22"/>
          <w:szCs w:val="22"/>
          <w:lang w:eastAsia="en-US"/>
        </w:rPr>
        <w:t>31 janvier de l’année en cours</w:t>
      </w:r>
      <w:r w:rsidRPr="00DD6E35">
        <w:rPr>
          <w:rFonts w:ascii="Arial" w:eastAsia="Calibri" w:hAnsi="Arial" w:cs="Arial"/>
          <w:color w:val="FF0000"/>
          <w:sz w:val="22"/>
          <w:szCs w:val="22"/>
          <w:lang w:eastAsia="en-US"/>
        </w:rPr>
        <w:t xml:space="preserve"> </w:t>
      </w:r>
      <w:r w:rsidRPr="00DD6E35">
        <w:rPr>
          <w:rFonts w:ascii="Arial" w:eastAsia="Calibri" w:hAnsi="Arial" w:cs="Arial"/>
          <w:sz w:val="22"/>
          <w:szCs w:val="22"/>
          <w:lang w:eastAsia="en-US"/>
        </w:rPr>
        <w:t>pour une programmation au deuxième semestre de l’année en cours.</w:t>
      </w:r>
    </w:p>
    <w:p w:rsidR="00510A3D" w:rsidRPr="00DD6E35" w:rsidRDefault="00510A3D" w:rsidP="00510A3D">
      <w:pPr>
        <w:ind w:left="720"/>
        <w:contextualSpacing/>
        <w:rPr>
          <w:rFonts w:ascii="Arial" w:eastAsia="Calibri" w:hAnsi="Arial" w:cs="Arial"/>
          <w:b/>
          <w:sz w:val="22"/>
          <w:szCs w:val="22"/>
          <w:lang w:eastAsia="en-US"/>
        </w:rPr>
      </w:pPr>
    </w:p>
    <w:p w:rsidR="00510A3D" w:rsidRPr="00DD6E35" w:rsidRDefault="00510A3D" w:rsidP="00510A3D">
      <w:pPr>
        <w:spacing w:after="160" w:line="254" w:lineRule="auto"/>
        <w:contextualSpacing/>
        <w:jc w:val="both"/>
        <w:rPr>
          <w:rFonts w:ascii="Arial" w:eastAsia="Calibri" w:hAnsi="Arial" w:cs="Arial"/>
          <w:sz w:val="22"/>
          <w:szCs w:val="22"/>
          <w:lang w:eastAsia="en-US"/>
        </w:rPr>
      </w:pPr>
      <w:r w:rsidRPr="00DD6E35">
        <w:rPr>
          <w:rFonts w:ascii="Arial" w:eastAsia="Calibri" w:hAnsi="Arial" w:cs="Arial"/>
          <w:sz w:val="22"/>
          <w:szCs w:val="22"/>
          <w:lang w:eastAsia="en-US"/>
        </w:rPr>
        <w:t>Dès le dépôt de la demande sur les sites énoncés ci-dessus, un email accusant réception du dossier sera émis. Cet accusé attestant du dépôt de la demande ne vaut pas promesse de subvention mais permet, conformément aux textes en vigueur, de démarrer l’opération à compter de la date mentionnée.</w:t>
      </w:r>
    </w:p>
    <w:p w:rsidR="00510A3D" w:rsidRPr="00DD6E35" w:rsidRDefault="00510A3D" w:rsidP="00510A3D">
      <w:pPr>
        <w:spacing w:line="254" w:lineRule="auto"/>
        <w:ind w:left="720"/>
        <w:contextualSpacing/>
        <w:jc w:val="both"/>
        <w:rPr>
          <w:rFonts w:ascii="Arial" w:eastAsia="Calibri" w:hAnsi="Arial" w:cs="Arial"/>
          <w:b/>
          <w:sz w:val="22"/>
          <w:szCs w:val="22"/>
          <w:lang w:eastAsia="en-US"/>
        </w:rPr>
      </w:pPr>
    </w:p>
    <w:p w:rsidR="00510A3D" w:rsidRPr="00DD6E35" w:rsidRDefault="00510A3D" w:rsidP="00510A3D">
      <w:pPr>
        <w:spacing w:line="254" w:lineRule="auto"/>
        <w:jc w:val="both"/>
        <w:rPr>
          <w:rFonts w:ascii="Arial" w:eastAsia="Calibri" w:hAnsi="Arial" w:cs="Arial"/>
          <w:b/>
          <w:sz w:val="22"/>
          <w:szCs w:val="22"/>
          <w:u w:val="single"/>
          <w:lang w:eastAsia="en-US"/>
        </w:rPr>
      </w:pPr>
      <w:r w:rsidRPr="00DD6E35">
        <w:rPr>
          <w:rFonts w:ascii="Arial" w:eastAsia="Calibri" w:hAnsi="Arial" w:cs="Arial"/>
          <w:b/>
          <w:sz w:val="22"/>
          <w:szCs w:val="22"/>
          <w:u w:val="single"/>
          <w:lang w:eastAsia="en-US"/>
        </w:rPr>
        <w:t>Article 5 – Délais relatifs au début d’exécution et à la fin d’exécution :</w:t>
      </w:r>
    </w:p>
    <w:p w:rsidR="00510A3D" w:rsidRPr="00DD6E35" w:rsidRDefault="00510A3D" w:rsidP="00510A3D">
      <w:pPr>
        <w:spacing w:line="254" w:lineRule="auto"/>
        <w:jc w:val="both"/>
        <w:rPr>
          <w:rFonts w:ascii="Arial" w:eastAsia="Calibri" w:hAnsi="Arial" w:cs="Arial"/>
          <w:b/>
          <w:sz w:val="22"/>
          <w:szCs w:val="22"/>
          <w:u w:val="single"/>
          <w:lang w:eastAsia="en-US"/>
        </w:rPr>
      </w:pPr>
    </w:p>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t xml:space="preserve">Le projet subventionné devra commencer dans un délai maximum de deux ans à compter de la date de la délibération d’attribution. Passé ce délai la subvention deviendra alors caduque. </w:t>
      </w:r>
      <w:bookmarkStart w:id="2" w:name="_Hlk102114285"/>
      <w:r w:rsidRPr="00DD6E35">
        <w:rPr>
          <w:rFonts w:ascii="Arial" w:eastAsia="Calibri" w:hAnsi="Arial" w:cs="Arial"/>
          <w:sz w:val="22"/>
          <w:szCs w:val="22"/>
          <w:lang w:eastAsia="en-US"/>
        </w:rPr>
        <w:t xml:space="preserve">Sous </w:t>
      </w:r>
      <w:bookmarkEnd w:id="2"/>
      <w:r w:rsidRPr="00DD6E35">
        <w:rPr>
          <w:rFonts w:ascii="Arial" w:eastAsia="Calibri" w:hAnsi="Arial" w:cs="Arial"/>
          <w:sz w:val="22"/>
          <w:szCs w:val="22"/>
          <w:lang w:eastAsia="en-US"/>
        </w:rPr>
        <w:t>peine d’annulation de la part de subvention correspondant aux travaux non justifiés, l’action devra être achevée dans un délai de deux ans après la date du début d’exécution de l’opération</w:t>
      </w:r>
    </w:p>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t>Ces délais pourront être prorogés sur demande motivée du bénéficiaire et sur décision de la Commission Permanente ou l’Assemblée délibérante.</w:t>
      </w:r>
    </w:p>
    <w:p w:rsidR="00510A3D" w:rsidRPr="00DD6E35" w:rsidRDefault="00510A3D" w:rsidP="00510A3D">
      <w:pPr>
        <w:spacing w:line="254" w:lineRule="auto"/>
        <w:jc w:val="both"/>
        <w:rPr>
          <w:rFonts w:ascii="Arial" w:eastAsia="Calibri" w:hAnsi="Arial" w:cs="Arial"/>
          <w:sz w:val="22"/>
          <w:szCs w:val="22"/>
          <w:lang w:eastAsia="en-US"/>
        </w:rPr>
      </w:pPr>
    </w:p>
    <w:p w:rsidR="00510A3D" w:rsidRPr="00DD6E35" w:rsidRDefault="00510A3D" w:rsidP="00510A3D">
      <w:pPr>
        <w:spacing w:line="254" w:lineRule="auto"/>
        <w:jc w:val="both"/>
        <w:rPr>
          <w:rFonts w:ascii="Arial" w:eastAsia="Calibri" w:hAnsi="Arial" w:cs="Arial"/>
          <w:b/>
          <w:sz w:val="22"/>
          <w:szCs w:val="22"/>
          <w:u w:val="single"/>
          <w:lang w:eastAsia="en-US"/>
        </w:rPr>
      </w:pPr>
      <w:r w:rsidRPr="00DD6E35">
        <w:rPr>
          <w:rFonts w:ascii="Arial" w:eastAsia="Calibri" w:hAnsi="Arial" w:cs="Arial"/>
          <w:b/>
          <w:sz w:val="22"/>
          <w:szCs w:val="22"/>
          <w:u w:val="single"/>
          <w:lang w:eastAsia="en-US"/>
        </w:rPr>
        <w:t>Article 6 – Modalités de versement des aides du Crédit d’Equipement Départemental :</w:t>
      </w:r>
    </w:p>
    <w:p w:rsidR="00510A3D" w:rsidRPr="00DD6E35" w:rsidRDefault="00510A3D" w:rsidP="00510A3D">
      <w:pPr>
        <w:spacing w:line="254" w:lineRule="auto"/>
        <w:jc w:val="both"/>
        <w:rPr>
          <w:rFonts w:ascii="Arial" w:eastAsia="Calibri" w:hAnsi="Arial" w:cs="Arial"/>
          <w:sz w:val="22"/>
          <w:szCs w:val="22"/>
          <w:lang w:eastAsia="en-US"/>
        </w:rPr>
      </w:pPr>
    </w:p>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t>La subvention à mandater est calculée par application à la dépense justifiée du taux de subvention adopté, conformément à l’article 3 du présent règlement, par l’Assemblée délibérante.</w:t>
      </w:r>
    </w:p>
    <w:p w:rsidR="00510A3D" w:rsidRPr="00DD6E35" w:rsidRDefault="00510A3D" w:rsidP="00510A3D">
      <w:pPr>
        <w:spacing w:line="254" w:lineRule="auto"/>
        <w:jc w:val="both"/>
        <w:rPr>
          <w:rFonts w:ascii="Arial" w:eastAsia="Calibri" w:hAnsi="Arial" w:cs="Arial"/>
          <w:sz w:val="22"/>
          <w:szCs w:val="22"/>
          <w:lang w:eastAsia="en-US"/>
        </w:rPr>
      </w:pPr>
    </w:p>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lastRenderedPageBreak/>
        <w:t xml:space="preserve">La subvention votée pourra faire l’objet du versement d’une </w:t>
      </w:r>
      <w:r w:rsidRPr="00DD6E35">
        <w:rPr>
          <w:rFonts w:ascii="Arial" w:eastAsia="Calibri" w:hAnsi="Arial" w:cs="Arial"/>
          <w:b/>
          <w:sz w:val="22"/>
          <w:szCs w:val="22"/>
          <w:lang w:eastAsia="en-US"/>
        </w:rPr>
        <w:t>avance</w:t>
      </w:r>
      <w:r w:rsidRPr="00DD6E35">
        <w:rPr>
          <w:rFonts w:ascii="Arial" w:eastAsia="Calibri" w:hAnsi="Arial" w:cs="Arial"/>
          <w:sz w:val="22"/>
          <w:szCs w:val="22"/>
          <w:lang w:eastAsia="en-US"/>
        </w:rPr>
        <w:t xml:space="preserve"> représentant 30% du montant prévisionnel de la subvention, sur demande expresse de la collectivité et présentation de l’ordre de service ou d’un bon de commande attestant du démarrage des travaux.</w:t>
      </w:r>
    </w:p>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t>La subvention pourra ensuite être versée :</w:t>
      </w:r>
    </w:p>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t>- en un versement unique à l’issue de la réalisation de l’opération.</w:t>
      </w:r>
    </w:p>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t>- ou avec possibilité d’acomptes proportionnels au montant de l’opération réalisée, et un solde à l’achèvement de l’action.</w:t>
      </w:r>
    </w:p>
    <w:p w:rsidR="00510A3D" w:rsidRPr="00DD6E35" w:rsidRDefault="00510A3D" w:rsidP="00510A3D">
      <w:pPr>
        <w:spacing w:line="254" w:lineRule="auto"/>
        <w:jc w:val="both"/>
        <w:rPr>
          <w:rFonts w:ascii="Arial" w:eastAsia="Calibri" w:hAnsi="Arial" w:cs="Arial"/>
          <w:sz w:val="22"/>
          <w:szCs w:val="22"/>
          <w:lang w:eastAsia="en-US"/>
        </w:rPr>
      </w:pPr>
    </w:p>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t>Le versement de l’aide est subordonné à la conformité de l’action réalisée au contenu du dossier de demande de subvention.</w:t>
      </w:r>
    </w:p>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t xml:space="preserve">La demande de versement formulée par le bénéficiaire est accompagnée d’un état récapitulatif des dépenses réalisées, certifié par le comptable public. </w:t>
      </w:r>
    </w:p>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t xml:space="preserve">La demande de versement de l’aide interviendra au plus tard 24 mois à compter de la date du début d’exécution de l’opération </w:t>
      </w:r>
    </w:p>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t>Pour les actions débutées avant la décision d’octroi de la subvention CDE et ayant fait l’objet d’un accusé de réception par courrier émanant du service départemental ou par mail tel qu’indiqué à l’article 4, les travaux réalisés et payés avant cette date, pourront être pris en compte lors du versement de l’aide.</w:t>
      </w:r>
    </w:p>
    <w:p w:rsidR="00510A3D" w:rsidRPr="00DD6E35" w:rsidRDefault="00510A3D" w:rsidP="00510A3D">
      <w:pPr>
        <w:spacing w:line="254" w:lineRule="auto"/>
        <w:jc w:val="both"/>
        <w:rPr>
          <w:rFonts w:ascii="Arial" w:eastAsia="Calibri" w:hAnsi="Arial" w:cs="Arial"/>
          <w:sz w:val="22"/>
          <w:szCs w:val="22"/>
          <w:lang w:eastAsia="en-US"/>
        </w:rPr>
      </w:pPr>
    </w:p>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t>Si le coût réel des travaux subventionnables est inférieur au montant de la dépense subventionnable, la subvention sera calculée sur ce nouveau montant.</w:t>
      </w:r>
    </w:p>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t>Dans le cas où le montant réel des travaux subventionnables serait supérieur à la dépense subventionnable, aucune majoration de la subvention octroyée ne pourrait intervenir.</w:t>
      </w:r>
    </w:p>
    <w:p w:rsidR="00510A3D" w:rsidRPr="00DD6E35" w:rsidRDefault="00510A3D" w:rsidP="00510A3D">
      <w:pPr>
        <w:spacing w:line="254" w:lineRule="auto"/>
        <w:jc w:val="both"/>
        <w:rPr>
          <w:rFonts w:ascii="Arial" w:eastAsia="Calibri" w:hAnsi="Arial" w:cs="Arial"/>
          <w:sz w:val="22"/>
          <w:szCs w:val="22"/>
          <w:lang w:eastAsia="en-US"/>
        </w:rPr>
      </w:pPr>
    </w:p>
    <w:p w:rsidR="00510A3D" w:rsidRPr="00DD6E35" w:rsidRDefault="00510A3D" w:rsidP="00510A3D">
      <w:pPr>
        <w:spacing w:line="254" w:lineRule="auto"/>
        <w:jc w:val="both"/>
        <w:rPr>
          <w:rFonts w:ascii="Arial" w:eastAsia="Calibri" w:hAnsi="Arial" w:cs="Arial"/>
          <w:sz w:val="22"/>
          <w:szCs w:val="22"/>
          <w:lang w:eastAsia="en-US"/>
        </w:rPr>
      </w:pPr>
    </w:p>
    <w:p w:rsidR="00510A3D" w:rsidRPr="00DD6E35" w:rsidRDefault="00510A3D" w:rsidP="00510A3D">
      <w:pPr>
        <w:spacing w:line="254" w:lineRule="auto"/>
        <w:jc w:val="both"/>
        <w:rPr>
          <w:rFonts w:ascii="Arial" w:eastAsia="Calibri" w:hAnsi="Arial" w:cs="Arial"/>
          <w:b/>
          <w:sz w:val="22"/>
          <w:szCs w:val="22"/>
          <w:u w:val="single"/>
          <w:lang w:eastAsia="en-US"/>
        </w:rPr>
      </w:pPr>
      <w:r w:rsidRPr="00DD6E35">
        <w:rPr>
          <w:rFonts w:ascii="Arial" w:eastAsia="Calibri" w:hAnsi="Arial" w:cs="Arial"/>
          <w:b/>
          <w:sz w:val="22"/>
          <w:szCs w:val="22"/>
          <w:u w:val="single"/>
          <w:lang w:eastAsia="en-US"/>
        </w:rPr>
        <w:t>Article 7 – Bonus « écologique »</w:t>
      </w:r>
    </w:p>
    <w:p w:rsidR="00510A3D" w:rsidRPr="00DD6E35" w:rsidRDefault="00510A3D" w:rsidP="00510A3D">
      <w:pPr>
        <w:spacing w:line="254" w:lineRule="auto"/>
        <w:jc w:val="both"/>
        <w:rPr>
          <w:rFonts w:ascii="Arial" w:eastAsia="Calibri" w:hAnsi="Arial" w:cs="Arial"/>
          <w:b/>
          <w:sz w:val="22"/>
          <w:szCs w:val="22"/>
          <w:u w:val="single"/>
          <w:lang w:eastAsia="en-US"/>
        </w:rPr>
      </w:pPr>
    </w:p>
    <w:p w:rsidR="00510A3D" w:rsidRPr="00DD6E35" w:rsidRDefault="00510A3D" w:rsidP="00510A3D">
      <w:pPr>
        <w:spacing w:line="254" w:lineRule="auto"/>
        <w:jc w:val="both"/>
        <w:rPr>
          <w:rFonts w:ascii="Arial" w:eastAsia="Calibri" w:hAnsi="Arial" w:cs="Arial"/>
          <w:b/>
          <w:sz w:val="22"/>
          <w:szCs w:val="22"/>
          <w:u w:val="single"/>
          <w:lang w:eastAsia="en-US"/>
        </w:rPr>
      </w:pPr>
      <w:r w:rsidRPr="00DD6E35">
        <w:rPr>
          <w:rFonts w:ascii="Arial" w:hAnsi="Arial" w:cs="Arial"/>
          <w:sz w:val="22"/>
          <w:szCs w:val="22"/>
          <w:bdr w:val="none" w:sz="0" w:space="0" w:color="auto" w:frame="1"/>
          <w:shd w:val="clear" w:color="auto" w:fill="FFFFFF"/>
        </w:rPr>
        <w:t>Le Conseil Départemental souhaite s'inscrire dans une démarche de préservation des ressources naturelles et de lutte contre le dérèglement climatique.</w:t>
      </w:r>
    </w:p>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t>Une bonification écologique pourra être accordée pour les projets relevant des domaines Bâtiments publics et Espaces Publics et selon les conditions suivantes :</w:t>
      </w:r>
    </w:p>
    <w:p w:rsidR="00510A3D" w:rsidRPr="00DD6E35" w:rsidRDefault="00510A3D" w:rsidP="00510A3D">
      <w:pPr>
        <w:spacing w:line="254" w:lineRule="auto"/>
        <w:jc w:val="both"/>
        <w:rPr>
          <w:rFonts w:ascii="Arial" w:eastAsia="Calibri" w:hAnsi="Arial" w:cs="Arial"/>
          <w:sz w:val="22"/>
          <w:szCs w:val="22"/>
          <w:lang w:eastAsia="en-US"/>
        </w:rPr>
      </w:pPr>
    </w:p>
    <w:p w:rsidR="00510A3D" w:rsidRPr="00DD6E35" w:rsidRDefault="00510A3D" w:rsidP="00510A3D">
      <w:pPr>
        <w:spacing w:line="254" w:lineRule="auto"/>
        <w:ind w:left="720"/>
        <w:contextualSpacing/>
        <w:jc w:val="both"/>
        <w:rPr>
          <w:rFonts w:ascii="Arial" w:eastAsia="Calibri" w:hAnsi="Arial" w:cs="Arial"/>
          <w:b/>
          <w:sz w:val="22"/>
          <w:szCs w:val="22"/>
          <w:lang w:eastAsia="en-US"/>
        </w:rPr>
      </w:pPr>
      <w:bookmarkStart w:id="3" w:name="_Hlk101967494"/>
      <w:r w:rsidRPr="00DD6E35">
        <w:rPr>
          <w:rFonts w:ascii="Arial" w:eastAsia="Calibri" w:hAnsi="Arial" w:cs="Arial"/>
          <w:sz w:val="22"/>
          <w:szCs w:val="22"/>
          <w:lang w:eastAsia="en-US"/>
        </w:rPr>
        <w:t xml:space="preserve">- </w:t>
      </w:r>
      <w:r w:rsidRPr="00DD6E35">
        <w:rPr>
          <w:rFonts w:ascii="Arial" w:eastAsia="Calibri" w:hAnsi="Arial" w:cs="Arial"/>
          <w:b/>
          <w:sz w:val="22"/>
          <w:szCs w:val="22"/>
          <w:u w:val="single"/>
          <w:lang w:eastAsia="en-US"/>
        </w:rPr>
        <w:t>Bâtiments publics</w:t>
      </w:r>
    </w:p>
    <w:bookmarkEnd w:id="3"/>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t xml:space="preserve">Pour les bâtiments publics, une bonification de </w:t>
      </w:r>
      <w:r w:rsidRPr="00DD6E35">
        <w:rPr>
          <w:rFonts w:ascii="Arial" w:eastAsia="Calibri" w:hAnsi="Arial" w:cs="Arial"/>
          <w:b/>
          <w:sz w:val="22"/>
          <w:szCs w:val="22"/>
          <w:lang w:eastAsia="en-US"/>
        </w:rPr>
        <w:t>10%</w:t>
      </w:r>
      <w:r w:rsidRPr="00DD6E35">
        <w:rPr>
          <w:rFonts w:ascii="Arial" w:eastAsia="Calibri" w:hAnsi="Arial" w:cs="Arial"/>
          <w:sz w:val="22"/>
          <w:szCs w:val="22"/>
          <w:lang w:eastAsia="en-US"/>
        </w:rPr>
        <w:t xml:space="preserve"> du montant de la subvention sera appliquée sous les conditions suivantes :</w:t>
      </w:r>
    </w:p>
    <w:p w:rsidR="00510A3D" w:rsidRPr="00DD6E35" w:rsidRDefault="00510A3D" w:rsidP="00510A3D">
      <w:pPr>
        <w:spacing w:line="254" w:lineRule="auto"/>
        <w:jc w:val="both"/>
        <w:rPr>
          <w:rFonts w:ascii="Arial" w:eastAsia="Calibri" w:hAnsi="Arial" w:cs="Arial"/>
          <w:sz w:val="22"/>
          <w:szCs w:val="22"/>
          <w:lang w:eastAsia="en-US"/>
        </w:rPr>
      </w:pPr>
    </w:p>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t>Point de départ d’une rénovation énergétique efficace, il conviendra de planifier un programme de travaux en privilégiant l’isolation thermique et donc prioritairement les interventions portant sur les parois opaques et vitrées, la toiture, les murs et les menuiseries extérieures, puis sur les types de chauffage et de régulation.</w:t>
      </w:r>
    </w:p>
    <w:p w:rsidR="00510A3D" w:rsidRPr="00DD6E35" w:rsidRDefault="00510A3D" w:rsidP="00510A3D">
      <w:pPr>
        <w:spacing w:line="254" w:lineRule="auto"/>
        <w:jc w:val="both"/>
        <w:rPr>
          <w:rFonts w:ascii="Arial" w:eastAsia="Calibri" w:hAnsi="Arial" w:cs="Arial"/>
          <w:sz w:val="22"/>
          <w:szCs w:val="22"/>
          <w:lang w:eastAsia="en-US"/>
        </w:rPr>
      </w:pPr>
    </w:p>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t>Les collectivités, occupant une place centrale pour relever le défi de la transition énergétique et écologique, peuvent solliciter pour la mise en œuvre de ces actions d’adaptation au changement climatique, l’ADEME, Agence de la transition écologique, qui met ses capacités d’expertise et de conseil à leur disposition par des fonds, des appels à projets, et des conseils personnalisé</w:t>
      </w:r>
      <w:r>
        <w:rPr>
          <w:rFonts w:ascii="Arial" w:eastAsia="Calibri" w:hAnsi="Arial" w:cs="Arial"/>
          <w:sz w:val="22"/>
          <w:szCs w:val="22"/>
          <w:lang w:eastAsia="en-US"/>
        </w:rPr>
        <w:t>s.</w:t>
      </w:r>
    </w:p>
    <w:p w:rsidR="00510A3D" w:rsidRPr="00DD6E35" w:rsidRDefault="00510A3D" w:rsidP="00510A3D">
      <w:pPr>
        <w:spacing w:line="254" w:lineRule="auto"/>
        <w:jc w:val="both"/>
        <w:rPr>
          <w:rFonts w:ascii="Arial" w:eastAsia="Calibri" w:hAnsi="Arial" w:cs="Arial"/>
          <w:color w:val="4472C4"/>
          <w:sz w:val="22"/>
          <w:szCs w:val="22"/>
          <w:lang w:eastAsia="en-US"/>
        </w:rPr>
      </w:pPr>
    </w:p>
    <w:p w:rsidR="00510A3D" w:rsidRPr="00DD6E35" w:rsidRDefault="00510A3D" w:rsidP="00510A3D">
      <w:pPr>
        <w:spacing w:line="254" w:lineRule="auto"/>
        <w:ind w:left="720"/>
        <w:contextualSpacing/>
        <w:jc w:val="both"/>
        <w:rPr>
          <w:rFonts w:ascii="Arial" w:eastAsia="Calibri" w:hAnsi="Arial" w:cs="Arial"/>
          <w:b/>
          <w:sz w:val="22"/>
          <w:szCs w:val="22"/>
          <w:lang w:eastAsia="en-US"/>
        </w:rPr>
      </w:pPr>
      <w:bookmarkStart w:id="4" w:name="_Hlk101969500"/>
      <w:r w:rsidRPr="00DD6E35">
        <w:rPr>
          <w:rFonts w:ascii="Arial" w:eastAsia="Calibri" w:hAnsi="Arial" w:cs="Arial"/>
          <w:sz w:val="22"/>
          <w:szCs w:val="22"/>
          <w:lang w:eastAsia="en-US"/>
        </w:rPr>
        <w:t xml:space="preserve">- </w:t>
      </w:r>
      <w:r w:rsidRPr="00DD6E35">
        <w:rPr>
          <w:rFonts w:ascii="Arial" w:eastAsia="Calibri" w:hAnsi="Arial" w:cs="Arial"/>
          <w:b/>
          <w:sz w:val="22"/>
          <w:szCs w:val="22"/>
          <w:u w:val="single"/>
          <w:lang w:eastAsia="en-US"/>
        </w:rPr>
        <w:t>Espaces publics</w:t>
      </w:r>
    </w:p>
    <w:p w:rsidR="00510A3D" w:rsidRPr="00DD6E35" w:rsidRDefault="00510A3D" w:rsidP="00510A3D">
      <w:pPr>
        <w:spacing w:line="254" w:lineRule="auto"/>
        <w:ind w:left="720"/>
        <w:contextualSpacing/>
        <w:jc w:val="both"/>
        <w:rPr>
          <w:rFonts w:ascii="Arial" w:eastAsia="Calibri" w:hAnsi="Arial" w:cs="Arial"/>
          <w:b/>
          <w:color w:val="4472C4"/>
          <w:sz w:val="22"/>
          <w:szCs w:val="22"/>
          <w:lang w:eastAsia="en-US"/>
        </w:rPr>
      </w:pPr>
    </w:p>
    <w:bookmarkEnd w:id="4"/>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t xml:space="preserve">Pour les aménagements d’espaces publics, une bonification de </w:t>
      </w:r>
      <w:r>
        <w:rPr>
          <w:rFonts w:ascii="Arial" w:eastAsia="Calibri" w:hAnsi="Arial" w:cs="Arial"/>
          <w:b/>
          <w:sz w:val="22"/>
          <w:szCs w:val="22"/>
          <w:lang w:eastAsia="en-US"/>
        </w:rPr>
        <w:t>10</w:t>
      </w:r>
      <w:r w:rsidRPr="00DD6E35">
        <w:rPr>
          <w:rFonts w:ascii="Arial" w:eastAsia="Calibri" w:hAnsi="Arial" w:cs="Arial"/>
          <w:b/>
          <w:sz w:val="22"/>
          <w:szCs w:val="22"/>
          <w:lang w:eastAsia="en-US"/>
        </w:rPr>
        <w:t>%</w:t>
      </w:r>
      <w:r w:rsidRPr="00DD6E35">
        <w:rPr>
          <w:rFonts w:ascii="Arial" w:eastAsia="Calibri" w:hAnsi="Arial" w:cs="Arial"/>
          <w:sz w:val="22"/>
          <w:szCs w:val="22"/>
          <w:lang w:eastAsia="en-US"/>
        </w:rPr>
        <w:t xml:space="preserve"> du montant de la subvention sera appliquée sous les conditions suivantes :</w:t>
      </w:r>
    </w:p>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lastRenderedPageBreak/>
        <w:t>- La plantation d’espèces méditerranéennes, la limitation des arrosages et le développement du paillage devront être de mise, ainsi que la renaturation en milieu urbain par notamment la plantation d’arbres à haute tige dans les zones non végétalisées</w:t>
      </w:r>
      <w:bookmarkStart w:id="5" w:name="_Hlk101968617"/>
      <w:r w:rsidRPr="00DD6E35">
        <w:rPr>
          <w:rFonts w:ascii="Arial" w:eastAsia="Calibri" w:hAnsi="Arial" w:cs="Arial"/>
          <w:sz w:val="22"/>
          <w:szCs w:val="22"/>
          <w:lang w:eastAsia="en-US"/>
        </w:rPr>
        <w:t xml:space="preserve">. </w:t>
      </w:r>
    </w:p>
    <w:bookmarkEnd w:id="5"/>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t xml:space="preserve">- Pour lutter contre les îlots de chaleur, l’aménagement projeté devra concourir à </w:t>
      </w:r>
      <w:r>
        <w:rPr>
          <w:rFonts w:ascii="Arial" w:eastAsia="Calibri" w:hAnsi="Arial" w:cs="Arial"/>
          <w:sz w:val="22"/>
          <w:szCs w:val="22"/>
          <w:lang w:eastAsia="en-US"/>
        </w:rPr>
        <w:t xml:space="preserve">un </w:t>
      </w:r>
      <w:r w:rsidRPr="00DD6E35">
        <w:rPr>
          <w:rFonts w:ascii="Arial" w:eastAsia="Calibri" w:hAnsi="Arial" w:cs="Arial"/>
          <w:sz w:val="22"/>
          <w:szCs w:val="22"/>
          <w:lang w:eastAsia="en-US"/>
        </w:rPr>
        <w:t xml:space="preserve">accroissement des surfaces plantées </w:t>
      </w:r>
      <w:r>
        <w:rPr>
          <w:rFonts w:ascii="Arial" w:eastAsia="Calibri" w:hAnsi="Arial" w:cs="Arial"/>
          <w:sz w:val="22"/>
          <w:szCs w:val="22"/>
          <w:lang w:eastAsia="en-US"/>
        </w:rPr>
        <w:t xml:space="preserve">de </w:t>
      </w:r>
      <w:r w:rsidRPr="00DD6E35">
        <w:rPr>
          <w:rFonts w:ascii="Arial" w:eastAsia="Calibri" w:hAnsi="Arial" w:cs="Arial"/>
          <w:sz w:val="22"/>
          <w:szCs w:val="22"/>
          <w:lang w:eastAsia="en-US"/>
        </w:rPr>
        <w:t>la superficie globale du projet.</w:t>
      </w:r>
    </w:p>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t>- La création d’îlots de fraîcheur sera également favorisée par l’aménagement d’espaces verts, et en particulier la plantation d’arbres de haute taille, la création d’ombrières, la végétalisation de murs.</w:t>
      </w:r>
    </w:p>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t>Le choix de la couleur des matériaux devra être adapté à cet objectif, tout comme la conception de cheminement « frais » par la mise en place notamment de platelage bois, par l’orientation et l’alignement des arbres.</w:t>
      </w:r>
    </w:p>
    <w:p w:rsidR="00510A3D" w:rsidRPr="00DD6E35" w:rsidRDefault="00510A3D" w:rsidP="00510A3D">
      <w:pPr>
        <w:spacing w:line="254" w:lineRule="auto"/>
        <w:jc w:val="both"/>
        <w:rPr>
          <w:rFonts w:ascii="Arial" w:eastAsia="Calibri" w:hAnsi="Arial" w:cs="Arial"/>
          <w:sz w:val="22"/>
          <w:szCs w:val="22"/>
          <w:lang w:eastAsia="en-US"/>
        </w:rPr>
      </w:pPr>
    </w:p>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t>Dans tous les cas, le demandeur s’engage à remettre une notice explicative dans le dossier de demande de subvention</w:t>
      </w:r>
      <w:r>
        <w:rPr>
          <w:rFonts w:ascii="Arial" w:eastAsia="Calibri" w:hAnsi="Arial" w:cs="Arial"/>
          <w:sz w:val="22"/>
          <w:szCs w:val="22"/>
          <w:lang w:eastAsia="en-US"/>
        </w:rPr>
        <w:t>.</w:t>
      </w:r>
    </w:p>
    <w:p w:rsidR="00510A3D" w:rsidRPr="00DD6E35" w:rsidRDefault="00510A3D" w:rsidP="00510A3D">
      <w:pPr>
        <w:spacing w:line="254" w:lineRule="auto"/>
        <w:jc w:val="both"/>
        <w:rPr>
          <w:rFonts w:ascii="Arial" w:eastAsia="Calibri" w:hAnsi="Arial" w:cs="Arial"/>
          <w:b/>
          <w:color w:val="4472C4"/>
          <w:sz w:val="22"/>
          <w:szCs w:val="22"/>
          <w:lang w:eastAsia="en-US"/>
        </w:rPr>
      </w:pPr>
    </w:p>
    <w:p w:rsidR="00510A3D" w:rsidRPr="00DD6E35" w:rsidRDefault="00510A3D" w:rsidP="00510A3D">
      <w:pPr>
        <w:spacing w:line="254" w:lineRule="auto"/>
        <w:jc w:val="both"/>
        <w:rPr>
          <w:rFonts w:ascii="Arial" w:eastAsia="Calibri" w:hAnsi="Arial" w:cs="Arial"/>
          <w:b/>
          <w:sz w:val="22"/>
          <w:szCs w:val="22"/>
          <w:u w:val="single"/>
          <w:lang w:eastAsia="en-US"/>
        </w:rPr>
      </w:pPr>
      <w:r w:rsidRPr="00DD6E35">
        <w:rPr>
          <w:rFonts w:ascii="Arial" w:eastAsia="Calibri" w:hAnsi="Arial" w:cs="Arial"/>
          <w:b/>
          <w:sz w:val="22"/>
          <w:szCs w:val="22"/>
          <w:u w:val="single"/>
          <w:lang w:eastAsia="en-US"/>
        </w:rPr>
        <w:t>Article 8 – Obligations en matière de communication :</w:t>
      </w:r>
    </w:p>
    <w:p w:rsidR="00510A3D" w:rsidRPr="00DD6E35" w:rsidRDefault="00510A3D" w:rsidP="00510A3D">
      <w:pPr>
        <w:spacing w:line="254" w:lineRule="auto"/>
        <w:jc w:val="both"/>
        <w:rPr>
          <w:rFonts w:ascii="Arial" w:eastAsia="Calibri" w:hAnsi="Arial" w:cs="Arial"/>
          <w:b/>
          <w:sz w:val="22"/>
          <w:szCs w:val="22"/>
          <w:u w:val="single"/>
          <w:lang w:eastAsia="en-US"/>
        </w:rPr>
      </w:pPr>
    </w:p>
    <w:p w:rsidR="00510A3D" w:rsidRPr="00DD6E35" w:rsidRDefault="00510A3D" w:rsidP="00510A3D">
      <w:pPr>
        <w:spacing w:line="254" w:lineRule="auto"/>
        <w:jc w:val="both"/>
        <w:rPr>
          <w:rFonts w:ascii="Arial" w:hAnsi="Arial" w:cs="Arial"/>
          <w:sz w:val="22"/>
          <w:szCs w:val="22"/>
        </w:rPr>
      </w:pPr>
      <w:r w:rsidRPr="00DD6E35">
        <w:rPr>
          <w:rFonts w:ascii="Arial" w:hAnsi="Arial" w:cs="Arial"/>
          <w:sz w:val="22"/>
          <w:szCs w:val="22"/>
        </w:rPr>
        <w:t xml:space="preserve">Pour toute opération cofinancée au titre des Contrats, le maître d’ouvrage bénéficiaire devra mentionner la participation financière du Département sur tous les supports de communication y afférant (rapports, affiches, plaquettes, articles de presse, mentions sur sites Internet, panneaux de chantier, etc.) avec la mention « action financée par le </w:t>
      </w:r>
      <w:r>
        <w:rPr>
          <w:rFonts w:ascii="Arial" w:hAnsi="Arial" w:cs="Arial"/>
          <w:sz w:val="22"/>
          <w:szCs w:val="22"/>
        </w:rPr>
        <w:t xml:space="preserve">Conseil </w:t>
      </w:r>
      <w:r w:rsidRPr="00DD6E35">
        <w:rPr>
          <w:rFonts w:ascii="Arial" w:hAnsi="Arial" w:cs="Arial"/>
          <w:sz w:val="22"/>
          <w:szCs w:val="22"/>
        </w:rPr>
        <w:t>Département</w:t>
      </w:r>
      <w:r>
        <w:rPr>
          <w:rFonts w:ascii="Arial" w:hAnsi="Arial" w:cs="Arial"/>
          <w:sz w:val="22"/>
          <w:szCs w:val="22"/>
        </w:rPr>
        <w:t>al</w:t>
      </w:r>
      <w:r w:rsidRPr="00DD6E35">
        <w:rPr>
          <w:rFonts w:ascii="Arial" w:hAnsi="Arial" w:cs="Arial"/>
          <w:sz w:val="22"/>
          <w:szCs w:val="22"/>
        </w:rPr>
        <w:t xml:space="preserve"> du Gard », et l’apposition du logo départemental. Il pourra dans ce cadre prendre contact avec la Direction de la Communication du Département.</w:t>
      </w:r>
    </w:p>
    <w:p w:rsidR="00510A3D" w:rsidRPr="00DD6E35" w:rsidRDefault="00510A3D" w:rsidP="00510A3D">
      <w:pPr>
        <w:spacing w:line="254" w:lineRule="auto"/>
        <w:jc w:val="both"/>
        <w:rPr>
          <w:rFonts w:ascii="Arial" w:hAnsi="Arial" w:cs="Arial"/>
          <w:sz w:val="22"/>
          <w:szCs w:val="22"/>
        </w:rPr>
      </w:pPr>
      <w:r w:rsidRPr="00DD6E35">
        <w:rPr>
          <w:rFonts w:ascii="Arial" w:hAnsi="Arial" w:cs="Arial"/>
          <w:sz w:val="22"/>
          <w:szCs w:val="22"/>
        </w:rPr>
        <w:t xml:space="preserve">Enfin, le Département, par l’intermédiaire de </w:t>
      </w:r>
      <w:r>
        <w:rPr>
          <w:rFonts w:ascii="Arial" w:hAnsi="Arial" w:cs="Arial"/>
          <w:sz w:val="22"/>
          <w:szCs w:val="22"/>
        </w:rPr>
        <w:t>sa Présidente</w:t>
      </w:r>
      <w:r w:rsidRPr="00DD6E35">
        <w:rPr>
          <w:rFonts w:ascii="Arial" w:hAnsi="Arial" w:cs="Arial"/>
          <w:sz w:val="22"/>
          <w:szCs w:val="22"/>
        </w:rPr>
        <w:t xml:space="preserve">, </w:t>
      </w:r>
      <w:r>
        <w:rPr>
          <w:rFonts w:ascii="Arial" w:hAnsi="Arial" w:cs="Arial"/>
          <w:sz w:val="22"/>
          <w:szCs w:val="22"/>
        </w:rPr>
        <w:t>devra être</w:t>
      </w:r>
      <w:r w:rsidRPr="00DD6E35">
        <w:rPr>
          <w:rFonts w:ascii="Arial" w:hAnsi="Arial" w:cs="Arial"/>
          <w:sz w:val="22"/>
          <w:szCs w:val="22"/>
        </w:rPr>
        <w:t xml:space="preserve"> systématiquement consulté lors des actions de communication organisées pour le lancement des opérations intégrées au Contrat (pose de première pierre, inauguration, </w:t>
      </w:r>
      <w:r>
        <w:rPr>
          <w:rFonts w:ascii="Arial" w:hAnsi="Arial" w:cs="Arial"/>
          <w:sz w:val="22"/>
          <w:szCs w:val="22"/>
        </w:rPr>
        <w:t xml:space="preserve">supports d’invitation, </w:t>
      </w:r>
      <w:r w:rsidRPr="00DD6E35">
        <w:rPr>
          <w:rFonts w:ascii="Arial" w:hAnsi="Arial" w:cs="Arial"/>
          <w:sz w:val="22"/>
          <w:szCs w:val="22"/>
        </w:rPr>
        <w:t>etc.) et sera associé en qualité de puissance invitante.</w:t>
      </w:r>
    </w:p>
    <w:p w:rsidR="00510A3D" w:rsidRPr="00DD6E35" w:rsidRDefault="00510A3D" w:rsidP="00510A3D">
      <w:pPr>
        <w:spacing w:line="254" w:lineRule="auto"/>
        <w:jc w:val="both"/>
        <w:rPr>
          <w:rFonts w:ascii="Arial" w:eastAsia="Calibri" w:hAnsi="Arial" w:cs="Arial"/>
          <w:sz w:val="22"/>
          <w:szCs w:val="22"/>
          <w:lang w:eastAsia="en-US"/>
        </w:rPr>
      </w:pPr>
      <w:r w:rsidRPr="00DD6E35">
        <w:rPr>
          <w:rFonts w:ascii="Arial" w:eastAsia="Calibri" w:hAnsi="Arial" w:cs="Arial"/>
          <w:sz w:val="22"/>
          <w:szCs w:val="22"/>
          <w:lang w:eastAsia="en-US"/>
        </w:rPr>
        <w:t xml:space="preserve">Tout manquement de la collectivité subventionnée aux obligations énoncées ci-dessus est susceptible de justifier l’annulation de la subvention en l’absence de régularisation de ce manquement </w:t>
      </w:r>
    </w:p>
    <w:p w:rsidR="00510A3D" w:rsidRPr="00DD6E35" w:rsidRDefault="00510A3D" w:rsidP="00510A3D">
      <w:pPr>
        <w:spacing w:line="254" w:lineRule="auto"/>
        <w:jc w:val="both"/>
        <w:rPr>
          <w:rFonts w:ascii="Arial" w:eastAsia="Calibri" w:hAnsi="Arial" w:cs="Arial"/>
          <w:sz w:val="22"/>
          <w:szCs w:val="22"/>
          <w:lang w:eastAsia="en-US"/>
        </w:rPr>
      </w:pPr>
    </w:p>
    <w:p w:rsidR="00510A3D" w:rsidRPr="00DD6E35" w:rsidRDefault="00510A3D" w:rsidP="00510A3D">
      <w:pPr>
        <w:spacing w:line="254" w:lineRule="auto"/>
        <w:jc w:val="both"/>
        <w:rPr>
          <w:rFonts w:ascii="Arial" w:eastAsia="Calibri" w:hAnsi="Arial" w:cs="Arial"/>
          <w:b/>
          <w:sz w:val="22"/>
          <w:szCs w:val="22"/>
          <w:u w:val="single"/>
          <w:lang w:eastAsia="en-US"/>
        </w:rPr>
      </w:pPr>
      <w:r w:rsidRPr="00DD6E35">
        <w:rPr>
          <w:rFonts w:ascii="Arial" w:eastAsia="Calibri" w:hAnsi="Arial" w:cs="Arial"/>
          <w:b/>
          <w:sz w:val="22"/>
          <w:szCs w:val="22"/>
          <w:u w:val="single"/>
          <w:lang w:eastAsia="en-US"/>
        </w:rPr>
        <w:t xml:space="preserve">Article 9– Reversement des aides : </w:t>
      </w:r>
    </w:p>
    <w:p w:rsidR="00510A3D" w:rsidRPr="00DD6E35" w:rsidRDefault="00510A3D" w:rsidP="00510A3D">
      <w:pPr>
        <w:spacing w:line="254" w:lineRule="auto"/>
        <w:jc w:val="both"/>
        <w:rPr>
          <w:rFonts w:ascii="Arial" w:eastAsia="Calibri" w:hAnsi="Arial" w:cs="Arial"/>
          <w:b/>
          <w:sz w:val="22"/>
          <w:szCs w:val="22"/>
          <w:u w:val="single"/>
          <w:lang w:eastAsia="en-US"/>
        </w:rPr>
      </w:pPr>
    </w:p>
    <w:p w:rsidR="00510A3D" w:rsidRPr="00DD6E35" w:rsidRDefault="00510A3D" w:rsidP="00510A3D">
      <w:pPr>
        <w:jc w:val="both"/>
      </w:pPr>
      <w:r w:rsidRPr="00DD6E35">
        <w:rPr>
          <w:rFonts w:ascii="Arial" w:eastAsia="Calibri" w:hAnsi="Arial" w:cs="Arial"/>
          <w:sz w:val="22"/>
          <w:szCs w:val="22"/>
          <w:lang w:eastAsia="en-US"/>
        </w:rPr>
        <w:t>Le Département se réserve la possibilité de demander au maître d’ouvrage le remboursement de la subvention ou fraction de subvention indûment perçue en cas de cumul de subventions publiques supérieur à 80 % de la dépense subventionnable hors taxe, en cas de défaut de publicité ou en cas de réalisation ne correspondant pas aux indications du dossier de demande d’aide.</w:t>
      </w:r>
    </w:p>
    <w:p w:rsidR="00510A3D" w:rsidRPr="00AD120F" w:rsidRDefault="00510A3D" w:rsidP="00510A3D">
      <w:pPr>
        <w:jc w:val="both"/>
      </w:pPr>
    </w:p>
    <w:p w:rsidR="00981ABD" w:rsidRDefault="00981ABD"/>
    <w:sectPr w:rsidR="00981ABD" w:rsidSect="00591AF4">
      <w:pgSz w:w="11907" w:h="16840"/>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52FC"/>
    <w:multiLevelType w:val="hybridMultilevel"/>
    <w:tmpl w:val="0194CFD0"/>
    <w:lvl w:ilvl="0" w:tplc="E6A62502">
      <w:start w:val="7"/>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421239"/>
    <w:multiLevelType w:val="hybridMultilevel"/>
    <w:tmpl w:val="3166914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60DA6026"/>
    <w:multiLevelType w:val="hybridMultilevel"/>
    <w:tmpl w:val="C478CBC6"/>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3D"/>
    <w:rsid w:val="00510A3D"/>
    <w:rsid w:val="00981ABD"/>
    <w:rsid w:val="00A513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6F56"/>
  <w15:chartTrackingRefBased/>
  <w15:docId w15:val="{A6BE3E00-B5EE-4466-A222-0E9AF1ED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A3D"/>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marches-simplifiees.fr/" TargetMode="External"/><Relationship Id="rId5" Type="http://schemas.openxmlformats.org/officeDocument/2006/relationships/hyperlink" Target="http://www.gard.fr/demander-une-subventio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1971</Words>
  <Characters>10844</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Karine</dc:creator>
  <cp:keywords/>
  <dc:description/>
  <cp:lastModifiedBy>LOPEZ Karine</cp:lastModifiedBy>
  <cp:revision>2</cp:revision>
  <dcterms:created xsi:type="dcterms:W3CDTF">2022-09-19T07:50:00Z</dcterms:created>
  <dcterms:modified xsi:type="dcterms:W3CDTF">2023-09-08T07:50:00Z</dcterms:modified>
</cp:coreProperties>
</file>